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1CB" w:rsidRPr="000D2121" w:rsidRDefault="00455B03" w:rsidP="007657AD">
      <w:bookmarkStart w:id="0" w:name="_GoBack"/>
      <w:bookmarkEnd w:id="0"/>
      <w:r>
        <w:drawing>
          <wp:anchor distT="0" distB="0" distL="114300" distR="114300" simplePos="0" relativeHeight="251657216" behindDoc="1" locked="0" layoutInCell="1" allowOverlap="1">
            <wp:simplePos x="0" y="0"/>
            <wp:positionH relativeFrom="column">
              <wp:posOffset>-953770</wp:posOffset>
            </wp:positionH>
            <wp:positionV relativeFrom="page">
              <wp:posOffset>-92075</wp:posOffset>
            </wp:positionV>
            <wp:extent cx="7653020" cy="10835640"/>
            <wp:effectExtent l="0" t="0" r="0" b="0"/>
            <wp:wrapNone/>
            <wp:docPr id="4" name="Image 4" descr="1er-couverture-diagad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er-couverture-diagade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3020" cy="1083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1CB" w:rsidRPr="00E506E1" w:rsidRDefault="00D871CB" w:rsidP="007657AD">
      <w:pPr>
        <w:pStyle w:val="PagedegardeTitre1Ademe"/>
      </w:pPr>
      <w:r w:rsidRPr="00E506E1">
        <w:t xml:space="preserve">GUIDE A LA REDACTION </w:t>
      </w:r>
    </w:p>
    <w:p w:rsidR="00D871CB" w:rsidRPr="00E506E1" w:rsidRDefault="00D871CB" w:rsidP="007657AD">
      <w:pPr>
        <w:pStyle w:val="PagedegardeTitre1Ademe"/>
      </w:pPr>
      <w:r w:rsidRPr="00E506E1">
        <w:t>D'UN CAHIER DES CHARGES</w:t>
      </w:r>
    </w:p>
    <w:p w:rsidR="00D871CB" w:rsidRPr="00E506E1" w:rsidRDefault="00D871CB" w:rsidP="007657AD">
      <w:pPr>
        <w:pStyle w:val="PagedegardeTitre2Ademe"/>
      </w:pPr>
      <w:r w:rsidRPr="00E506E1">
        <w:t>Pour tout bénéficiaire d’un concours financier de l’ADEME</w:t>
      </w:r>
    </w:p>
    <w:p w:rsidR="00D871CB" w:rsidRPr="00E506E1" w:rsidRDefault="00D871CB" w:rsidP="007657AD">
      <w:pPr>
        <w:pStyle w:val="PagedegardeTitre2Ademe"/>
      </w:pPr>
      <w:r w:rsidRPr="00E506E1">
        <w:t>dans le cadre du dispositif d’aide à la décision</w:t>
      </w:r>
    </w:p>
    <w:p w:rsidR="00D871CB" w:rsidRPr="000D2121" w:rsidRDefault="00D871CB" w:rsidP="007657AD"/>
    <w:p w:rsidR="00D871CB" w:rsidRPr="000D2121" w:rsidRDefault="00BF4FC1" w:rsidP="007657AD">
      <w:r>
        <w:tab/>
      </w:r>
    </w:p>
    <w:p w:rsidR="00D871CB" w:rsidRPr="000D2121" w:rsidRDefault="00D871CB" w:rsidP="007657AD"/>
    <w:p w:rsidR="00D871CB" w:rsidRPr="000D2121" w:rsidRDefault="00D871CB" w:rsidP="007657AD"/>
    <w:p w:rsidR="00D871CB" w:rsidRPr="000D2121" w:rsidRDefault="00D871CB" w:rsidP="007657AD"/>
    <w:p w:rsidR="00D871CB" w:rsidRPr="000D2121" w:rsidRDefault="00D871CB" w:rsidP="007657AD"/>
    <w:p w:rsidR="00D871CB" w:rsidRPr="000D2121" w:rsidRDefault="00D871CB" w:rsidP="007657AD"/>
    <w:p w:rsidR="00D871CB" w:rsidRDefault="00A6534F" w:rsidP="007657AD">
      <w:pPr>
        <w:pStyle w:val="PagedegardeTitre3Ademe"/>
      </w:pPr>
      <w:r>
        <w:t xml:space="preserve">GUIDE à la rédaction d’un </w:t>
      </w:r>
      <w:r w:rsidR="00D871CB" w:rsidRPr="000D2121">
        <w:t>CAHIER DES CHARGES</w:t>
      </w:r>
    </w:p>
    <w:p w:rsidR="00D871CB" w:rsidRPr="000D2121" w:rsidRDefault="006B7E94" w:rsidP="007657AD">
      <w:pPr>
        <w:pStyle w:val="PagedegardeTitre4Ademe"/>
      </w:pPr>
      <w:r>
        <w:t xml:space="preserve">ETUDE PREALABLE A L’INSTAURATION </w:t>
      </w:r>
      <w:r w:rsidR="00B933AE">
        <w:t>D’un dispositif de tri à la source des biodechets incluant une collecte séparée de ces derniers</w:t>
      </w:r>
    </w:p>
    <w:p w:rsidR="00D871CB" w:rsidRDefault="00D871CB" w:rsidP="007657AD"/>
    <w:p w:rsidR="009E4361" w:rsidRPr="000D2121" w:rsidRDefault="009E4361" w:rsidP="007657AD"/>
    <w:p w:rsidR="00D871CB" w:rsidRDefault="00D871CB" w:rsidP="007657AD"/>
    <w:p w:rsidR="00B933AE" w:rsidRPr="000D2121" w:rsidRDefault="00B933AE" w:rsidP="007657AD"/>
    <w:p w:rsidR="00D871CB" w:rsidRPr="000D2121" w:rsidRDefault="00D871CB" w:rsidP="007657AD"/>
    <w:p w:rsidR="00D871CB" w:rsidRPr="000D2121" w:rsidRDefault="00D871CB" w:rsidP="007657AD"/>
    <w:p w:rsidR="00D871CB" w:rsidRPr="000D2121" w:rsidRDefault="00D871CB" w:rsidP="007657AD"/>
    <w:p w:rsidR="00D871CB" w:rsidRPr="000D2121" w:rsidRDefault="00D871CB" w:rsidP="007657AD"/>
    <w:p w:rsidR="00D871CB" w:rsidRPr="000D2121" w:rsidRDefault="00D871CB" w:rsidP="007657AD"/>
    <w:p w:rsidR="00D871CB" w:rsidRPr="000D2121" w:rsidRDefault="00D871CB" w:rsidP="007657AD"/>
    <w:p w:rsidR="00D871CB" w:rsidRPr="000D2121" w:rsidRDefault="00D871CB" w:rsidP="007657AD"/>
    <w:p w:rsidR="00D871CB" w:rsidRPr="000D2121" w:rsidRDefault="00D871CB" w:rsidP="007657AD"/>
    <w:p w:rsidR="00D871CB" w:rsidRPr="000D2121" w:rsidRDefault="00D871CB" w:rsidP="007657AD"/>
    <w:p w:rsidR="00D871CB" w:rsidRPr="000D2121" w:rsidRDefault="00D871CB" w:rsidP="007657AD"/>
    <w:p w:rsidR="00D871CB" w:rsidRPr="000D2121" w:rsidRDefault="00D871CB" w:rsidP="007657AD"/>
    <w:p w:rsidR="00D871CB" w:rsidRPr="000D2121" w:rsidRDefault="00D871CB" w:rsidP="007657AD"/>
    <w:p w:rsidR="00D871CB" w:rsidRDefault="00D871CB" w:rsidP="007657AD">
      <w:pPr>
        <w:pStyle w:val="PagedegardeTitre5Ademe"/>
      </w:pPr>
      <w:r w:rsidRPr="000D2121">
        <w:t>COLLECTION DES CAHIERS DES CHARGES</w:t>
      </w:r>
    </w:p>
    <w:p w:rsidR="009E4361" w:rsidRPr="000844B8" w:rsidRDefault="009E4361" w:rsidP="007657AD">
      <w:pPr>
        <w:pStyle w:val="PagedegardeTitre5Ademe"/>
      </w:pPr>
      <w:r w:rsidRPr="00FB79B6">
        <w:t>D’AIDE A LA DECISION</w:t>
      </w:r>
    </w:p>
    <w:p w:rsidR="009E4361" w:rsidRPr="000D2121" w:rsidRDefault="009E4361" w:rsidP="007657AD"/>
    <w:p w:rsidR="00D871CB" w:rsidRDefault="00D871CB" w:rsidP="007657AD"/>
    <w:p w:rsidR="00D871CB" w:rsidRDefault="00734EFD" w:rsidP="007657AD">
      <w:pPr>
        <w:pStyle w:val="PagedegardeTitre6Ademe"/>
      </w:pPr>
      <w:r>
        <w:t xml:space="preserve">Version du </w:t>
      </w:r>
      <w:r w:rsidR="00B933AE">
        <w:t>26</w:t>
      </w:r>
      <w:r w:rsidR="00D871CB">
        <w:t>/</w:t>
      </w:r>
      <w:r w:rsidR="00B933AE">
        <w:t>02</w:t>
      </w:r>
      <w:r w:rsidR="006B7E94">
        <w:t>/201</w:t>
      </w:r>
      <w:r w:rsidR="00B933AE">
        <w:t>8</w:t>
      </w:r>
    </w:p>
    <w:p w:rsidR="00D871CB" w:rsidRDefault="00D871CB" w:rsidP="007657AD">
      <w:pPr>
        <w:pStyle w:val="PagedegardeTitre6Ademe"/>
        <w:sectPr w:rsidR="00D871CB" w:rsidSect="00D871CB">
          <w:footerReference w:type="first" r:id="rId9"/>
          <w:pgSz w:w="11906" w:h="16838"/>
          <w:pgMar w:top="902" w:right="1418" w:bottom="1418" w:left="1418" w:header="709" w:footer="709" w:gutter="0"/>
          <w:cols w:space="708"/>
          <w:docGrid w:linePitch="360"/>
        </w:sectPr>
      </w:pPr>
    </w:p>
    <w:p w:rsidR="006D297E" w:rsidRDefault="00E506E1" w:rsidP="007657AD">
      <w:pPr>
        <w:pStyle w:val="NormalGrandTitre1Ademe"/>
      </w:pPr>
      <w:r>
        <w:lastRenderedPageBreak/>
        <w:t>sommaire</w:t>
      </w:r>
    </w:p>
    <w:bookmarkStart w:id="1" w:name="_Toc331751540"/>
    <w:p w:rsidR="00A85E04" w:rsidRDefault="00527582">
      <w:pPr>
        <w:pStyle w:val="TM1"/>
        <w:rPr>
          <w:rFonts w:asciiTheme="minorHAnsi" w:eastAsiaTheme="minorEastAsia" w:hAnsiTheme="minorHAnsi" w:cstheme="minorBidi"/>
          <w:b w:val="0"/>
          <w:caps w:val="0"/>
          <w:color w:val="auto"/>
          <w:sz w:val="22"/>
          <w:szCs w:val="22"/>
        </w:rPr>
      </w:pPr>
      <w:r>
        <w:fldChar w:fldCharType="begin"/>
      </w:r>
      <w:r>
        <w:instrText xml:space="preserve"> TOC \o "1-5" \h \z \u </w:instrText>
      </w:r>
      <w:r>
        <w:fldChar w:fldCharType="separate"/>
      </w:r>
      <w:hyperlink w:anchor="_Toc507407587" w:history="1">
        <w:r w:rsidR="00A85E04" w:rsidRPr="00FC0C67">
          <w:rPr>
            <w:rStyle w:val="Lienhypertexte"/>
          </w:rPr>
          <w:t>1 - PREAMBULE</w:t>
        </w:r>
        <w:r w:rsidR="00A85E04">
          <w:rPr>
            <w:webHidden/>
          </w:rPr>
          <w:tab/>
        </w:r>
        <w:r w:rsidR="00A85E04">
          <w:rPr>
            <w:webHidden/>
          </w:rPr>
          <w:fldChar w:fldCharType="begin"/>
        </w:r>
        <w:r w:rsidR="00A85E04">
          <w:rPr>
            <w:webHidden/>
          </w:rPr>
          <w:instrText xml:space="preserve"> PAGEREF _Toc507407587 \h </w:instrText>
        </w:r>
        <w:r w:rsidR="00A85E04">
          <w:rPr>
            <w:webHidden/>
          </w:rPr>
        </w:r>
        <w:r w:rsidR="00A85E04">
          <w:rPr>
            <w:webHidden/>
          </w:rPr>
          <w:fldChar w:fldCharType="separate"/>
        </w:r>
        <w:r w:rsidR="00A85E04">
          <w:rPr>
            <w:webHidden/>
          </w:rPr>
          <w:t>3</w:t>
        </w:r>
        <w:r w:rsidR="00A85E04">
          <w:rPr>
            <w:webHidden/>
          </w:rPr>
          <w:fldChar w:fldCharType="end"/>
        </w:r>
      </w:hyperlink>
    </w:p>
    <w:p w:rsidR="00A85E04" w:rsidRDefault="00720328">
      <w:pPr>
        <w:pStyle w:val="TM1"/>
        <w:rPr>
          <w:rFonts w:asciiTheme="minorHAnsi" w:eastAsiaTheme="minorEastAsia" w:hAnsiTheme="minorHAnsi" w:cstheme="minorBidi"/>
          <w:b w:val="0"/>
          <w:caps w:val="0"/>
          <w:color w:val="auto"/>
          <w:sz w:val="22"/>
          <w:szCs w:val="22"/>
        </w:rPr>
      </w:pPr>
      <w:hyperlink w:anchor="_Toc507407588" w:history="1">
        <w:r w:rsidR="00A85E04" w:rsidRPr="00FC0C67">
          <w:rPr>
            <w:rStyle w:val="Lienhypertexte"/>
          </w:rPr>
          <w:t>2 - Contexte</w:t>
        </w:r>
        <w:r w:rsidR="00A85E04">
          <w:rPr>
            <w:webHidden/>
          </w:rPr>
          <w:tab/>
        </w:r>
        <w:r w:rsidR="00A85E04">
          <w:rPr>
            <w:webHidden/>
          </w:rPr>
          <w:fldChar w:fldCharType="begin"/>
        </w:r>
        <w:r w:rsidR="00A85E04">
          <w:rPr>
            <w:webHidden/>
          </w:rPr>
          <w:instrText xml:space="preserve"> PAGEREF _Toc507407588 \h </w:instrText>
        </w:r>
        <w:r w:rsidR="00A85E04">
          <w:rPr>
            <w:webHidden/>
          </w:rPr>
        </w:r>
        <w:r w:rsidR="00A85E04">
          <w:rPr>
            <w:webHidden/>
          </w:rPr>
          <w:fldChar w:fldCharType="separate"/>
        </w:r>
        <w:r w:rsidR="00A85E04">
          <w:rPr>
            <w:webHidden/>
          </w:rPr>
          <w:t>4</w:t>
        </w:r>
        <w:r w:rsidR="00A85E04">
          <w:rPr>
            <w:webHidden/>
          </w:rPr>
          <w:fldChar w:fldCharType="end"/>
        </w:r>
      </w:hyperlink>
    </w:p>
    <w:p w:rsidR="00A85E04" w:rsidRDefault="00720328">
      <w:pPr>
        <w:pStyle w:val="TM1"/>
        <w:rPr>
          <w:rFonts w:asciiTheme="minorHAnsi" w:eastAsiaTheme="minorEastAsia" w:hAnsiTheme="minorHAnsi" w:cstheme="minorBidi"/>
          <w:b w:val="0"/>
          <w:caps w:val="0"/>
          <w:color w:val="auto"/>
          <w:sz w:val="22"/>
          <w:szCs w:val="22"/>
        </w:rPr>
      </w:pPr>
      <w:hyperlink w:anchor="_Toc507407589" w:history="1">
        <w:r w:rsidR="00A85E04" w:rsidRPr="00FC0C67">
          <w:rPr>
            <w:rStyle w:val="Lienhypertexte"/>
          </w:rPr>
          <w:t>3 - Objectifs</w:t>
        </w:r>
        <w:r w:rsidR="00A85E04">
          <w:rPr>
            <w:webHidden/>
          </w:rPr>
          <w:tab/>
        </w:r>
        <w:r w:rsidR="00A85E04">
          <w:rPr>
            <w:webHidden/>
          </w:rPr>
          <w:fldChar w:fldCharType="begin"/>
        </w:r>
        <w:r w:rsidR="00A85E04">
          <w:rPr>
            <w:webHidden/>
          </w:rPr>
          <w:instrText xml:space="preserve"> PAGEREF _Toc507407589 \h </w:instrText>
        </w:r>
        <w:r w:rsidR="00A85E04">
          <w:rPr>
            <w:webHidden/>
          </w:rPr>
        </w:r>
        <w:r w:rsidR="00A85E04">
          <w:rPr>
            <w:webHidden/>
          </w:rPr>
          <w:fldChar w:fldCharType="separate"/>
        </w:r>
        <w:r w:rsidR="00A85E04">
          <w:rPr>
            <w:webHidden/>
          </w:rPr>
          <w:t>5</w:t>
        </w:r>
        <w:r w:rsidR="00A85E04">
          <w:rPr>
            <w:webHidden/>
          </w:rPr>
          <w:fldChar w:fldCharType="end"/>
        </w:r>
      </w:hyperlink>
    </w:p>
    <w:p w:rsidR="00A85E04" w:rsidRDefault="00720328">
      <w:pPr>
        <w:pStyle w:val="TM1"/>
        <w:rPr>
          <w:rFonts w:asciiTheme="minorHAnsi" w:eastAsiaTheme="minorEastAsia" w:hAnsiTheme="minorHAnsi" w:cstheme="minorBidi"/>
          <w:b w:val="0"/>
          <w:caps w:val="0"/>
          <w:color w:val="auto"/>
          <w:sz w:val="22"/>
          <w:szCs w:val="22"/>
        </w:rPr>
      </w:pPr>
      <w:hyperlink w:anchor="_Toc507407590" w:history="1">
        <w:r w:rsidR="00A85E04" w:rsidRPr="00FC0C67">
          <w:rPr>
            <w:rStyle w:val="Lienhypertexte"/>
          </w:rPr>
          <w:t>4 - Etapes de travail</w:t>
        </w:r>
        <w:r w:rsidR="00A85E04">
          <w:rPr>
            <w:webHidden/>
          </w:rPr>
          <w:tab/>
        </w:r>
        <w:r w:rsidR="00A85E04">
          <w:rPr>
            <w:webHidden/>
          </w:rPr>
          <w:fldChar w:fldCharType="begin"/>
        </w:r>
        <w:r w:rsidR="00A85E04">
          <w:rPr>
            <w:webHidden/>
          </w:rPr>
          <w:instrText xml:space="preserve"> PAGEREF _Toc507407590 \h </w:instrText>
        </w:r>
        <w:r w:rsidR="00A85E04">
          <w:rPr>
            <w:webHidden/>
          </w:rPr>
        </w:r>
        <w:r w:rsidR="00A85E04">
          <w:rPr>
            <w:webHidden/>
          </w:rPr>
          <w:fldChar w:fldCharType="separate"/>
        </w:r>
        <w:r w:rsidR="00A85E04">
          <w:rPr>
            <w:webHidden/>
          </w:rPr>
          <w:t>6</w:t>
        </w:r>
        <w:r w:rsidR="00A85E04">
          <w:rPr>
            <w:webHidden/>
          </w:rPr>
          <w:fldChar w:fldCharType="end"/>
        </w:r>
      </w:hyperlink>
    </w:p>
    <w:p w:rsidR="00A85E04" w:rsidRDefault="00720328">
      <w:pPr>
        <w:pStyle w:val="TM2"/>
        <w:rPr>
          <w:rFonts w:asciiTheme="minorHAnsi" w:eastAsiaTheme="minorEastAsia" w:hAnsiTheme="minorHAnsi" w:cstheme="minorBidi"/>
          <w:caps w:val="0"/>
          <w:sz w:val="22"/>
          <w:szCs w:val="22"/>
        </w:rPr>
      </w:pPr>
      <w:hyperlink w:anchor="_Toc507407591" w:history="1">
        <w:r w:rsidR="00A85E04" w:rsidRPr="00FC0C67">
          <w:rPr>
            <w:rStyle w:val="Lienhypertexte"/>
          </w:rPr>
          <w:t>4.1 - Etape 1 : Analyse du contexte</w:t>
        </w:r>
        <w:r w:rsidR="00A85E04">
          <w:rPr>
            <w:webHidden/>
          </w:rPr>
          <w:tab/>
        </w:r>
        <w:r w:rsidR="00A85E04">
          <w:rPr>
            <w:webHidden/>
          </w:rPr>
          <w:fldChar w:fldCharType="begin"/>
        </w:r>
        <w:r w:rsidR="00A85E04">
          <w:rPr>
            <w:webHidden/>
          </w:rPr>
          <w:instrText xml:space="preserve"> PAGEREF _Toc507407591 \h </w:instrText>
        </w:r>
        <w:r w:rsidR="00A85E04">
          <w:rPr>
            <w:webHidden/>
          </w:rPr>
        </w:r>
        <w:r w:rsidR="00A85E04">
          <w:rPr>
            <w:webHidden/>
          </w:rPr>
          <w:fldChar w:fldCharType="separate"/>
        </w:r>
        <w:r w:rsidR="00A85E04">
          <w:rPr>
            <w:webHidden/>
          </w:rPr>
          <w:t>6</w:t>
        </w:r>
        <w:r w:rsidR="00A85E04">
          <w:rPr>
            <w:webHidden/>
          </w:rPr>
          <w:fldChar w:fldCharType="end"/>
        </w:r>
      </w:hyperlink>
    </w:p>
    <w:p w:rsidR="00A85E04" w:rsidRDefault="00720328">
      <w:pPr>
        <w:pStyle w:val="TM3"/>
        <w:rPr>
          <w:rFonts w:asciiTheme="minorHAnsi" w:eastAsiaTheme="minorEastAsia" w:hAnsiTheme="minorHAnsi" w:cstheme="minorBidi"/>
          <w:sz w:val="22"/>
          <w:szCs w:val="22"/>
        </w:rPr>
      </w:pPr>
      <w:hyperlink w:anchor="_Toc507407592" w:history="1">
        <w:r w:rsidR="00A85E04" w:rsidRPr="00FC0C67">
          <w:rPr>
            <w:rStyle w:val="Lienhypertexte"/>
          </w:rPr>
          <w:t>4.1.1 - Analyse technique du service</w:t>
        </w:r>
        <w:r w:rsidR="00A85E04">
          <w:rPr>
            <w:webHidden/>
          </w:rPr>
          <w:tab/>
        </w:r>
        <w:r w:rsidR="00A85E04">
          <w:rPr>
            <w:webHidden/>
          </w:rPr>
          <w:fldChar w:fldCharType="begin"/>
        </w:r>
        <w:r w:rsidR="00A85E04">
          <w:rPr>
            <w:webHidden/>
          </w:rPr>
          <w:instrText xml:space="preserve"> PAGEREF _Toc507407592 \h </w:instrText>
        </w:r>
        <w:r w:rsidR="00A85E04">
          <w:rPr>
            <w:webHidden/>
          </w:rPr>
        </w:r>
        <w:r w:rsidR="00A85E04">
          <w:rPr>
            <w:webHidden/>
          </w:rPr>
          <w:fldChar w:fldCharType="separate"/>
        </w:r>
        <w:r w:rsidR="00A85E04">
          <w:rPr>
            <w:webHidden/>
          </w:rPr>
          <w:t>6</w:t>
        </w:r>
        <w:r w:rsidR="00A85E04">
          <w:rPr>
            <w:webHidden/>
          </w:rPr>
          <w:fldChar w:fldCharType="end"/>
        </w:r>
      </w:hyperlink>
    </w:p>
    <w:p w:rsidR="00A85E04" w:rsidRDefault="00720328">
      <w:pPr>
        <w:pStyle w:val="TM3"/>
        <w:rPr>
          <w:rFonts w:asciiTheme="minorHAnsi" w:eastAsiaTheme="minorEastAsia" w:hAnsiTheme="minorHAnsi" w:cstheme="minorBidi"/>
          <w:sz w:val="22"/>
          <w:szCs w:val="22"/>
        </w:rPr>
      </w:pPr>
      <w:hyperlink w:anchor="_Toc507407593" w:history="1">
        <w:r w:rsidR="00A85E04" w:rsidRPr="00FC0C67">
          <w:rPr>
            <w:rStyle w:val="Lienhypertexte"/>
          </w:rPr>
          <w:t>4.1.2 - Analyse du territoire</w:t>
        </w:r>
        <w:r w:rsidR="00A85E04">
          <w:rPr>
            <w:webHidden/>
          </w:rPr>
          <w:tab/>
        </w:r>
        <w:r w:rsidR="00A85E04">
          <w:rPr>
            <w:webHidden/>
          </w:rPr>
          <w:fldChar w:fldCharType="begin"/>
        </w:r>
        <w:r w:rsidR="00A85E04">
          <w:rPr>
            <w:webHidden/>
          </w:rPr>
          <w:instrText xml:space="preserve"> PAGEREF _Toc507407593 \h </w:instrText>
        </w:r>
        <w:r w:rsidR="00A85E04">
          <w:rPr>
            <w:webHidden/>
          </w:rPr>
        </w:r>
        <w:r w:rsidR="00A85E04">
          <w:rPr>
            <w:webHidden/>
          </w:rPr>
          <w:fldChar w:fldCharType="separate"/>
        </w:r>
        <w:r w:rsidR="00A85E04">
          <w:rPr>
            <w:webHidden/>
          </w:rPr>
          <w:t>7</w:t>
        </w:r>
        <w:r w:rsidR="00A85E04">
          <w:rPr>
            <w:webHidden/>
          </w:rPr>
          <w:fldChar w:fldCharType="end"/>
        </w:r>
      </w:hyperlink>
    </w:p>
    <w:p w:rsidR="00A85E04" w:rsidRDefault="00720328">
      <w:pPr>
        <w:pStyle w:val="TM3"/>
        <w:rPr>
          <w:rFonts w:asciiTheme="minorHAnsi" w:eastAsiaTheme="minorEastAsia" w:hAnsiTheme="minorHAnsi" w:cstheme="minorBidi"/>
          <w:sz w:val="22"/>
          <w:szCs w:val="22"/>
        </w:rPr>
      </w:pPr>
      <w:hyperlink w:anchor="_Toc507407594" w:history="1">
        <w:r w:rsidR="00A85E04" w:rsidRPr="00FC0C67">
          <w:rPr>
            <w:rStyle w:val="Lienhypertexte"/>
          </w:rPr>
          <w:t>4.1.3 - Analyse financière du service</w:t>
        </w:r>
        <w:r w:rsidR="00A85E04">
          <w:rPr>
            <w:webHidden/>
          </w:rPr>
          <w:tab/>
        </w:r>
        <w:r w:rsidR="00A85E04">
          <w:rPr>
            <w:webHidden/>
          </w:rPr>
          <w:fldChar w:fldCharType="begin"/>
        </w:r>
        <w:r w:rsidR="00A85E04">
          <w:rPr>
            <w:webHidden/>
          </w:rPr>
          <w:instrText xml:space="preserve"> PAGEREF _Toc507407594 \h </w:instrText>
        </w:r>
        <w:r w:rsidR="00A85E04">
          <w:rPr>
            <w:webHidden/>
          </w:rPr>
        </w:r>
        <w:r w:rsidR="00A85E04">
          <w:rPr>
            <w:webHidden/>
          </w:rPr>
          <w:fldChar w:fldCharType="separate"/>
        </w:r>
        <w:r w:rsidR="00A85E04">
          <w:rPr>
            <w:webHidden/>
          </w:rPr>
          <w:t>7</w:t>
        </w:r>
        <w:r w:rsidR="00A85E04">
          <w:rPr>
            <w:webHidden/>
          </w:rPr>
          <w:fldChar w:fldCharType="end"/>
        </w:r>
      </w:hyperlink>
    </w:p>
    <w:p w:rsidR="00A85E04" w:rsidRDefault="00720328">
      <w:pPr>
        <w:pStyle w:val="TM2"/>
        <w:rPr>
          <w:rFonts w:asciiTheme="minorHAnsi" w:eastAsiaTheme="minorEastAsia" w:hAnsiTheme="minorHAnsi" w:cstheme="minorBidi"/>
          <w:caps w:val="0"/>
          <w:sz w:val="22"/>
          <w:szCs w:val="22"/>
        </w:rPr>
      </w:pPr>
      <w:hyperlink w:anchor="_Toc507407595" w:history="1">
        <w:r w:rsidR="00A85E04" w:rsidRPr="00FC0C67">
          <w:rPr>
            <w:rStyle w:val="Lienhypertexte"/>
          </w:rPr>
          <w:t>4.2 - Etape 2 : Les scénarii possibles</w:t>
        </w:r>
        <w:r w:rsidR="00A85E04">
          <w:rPr>
            <w:webHidden/>
          </w:rPr>
          <w:tab/>
        </w:r>
        <w:r w:rsidR="00A85E04">
          <w:rPr>
            <w:webHidden/>
          </w:rPr>
          <w:fldChar w:fldCharType="begin"/>
        </w:r>
        <w:r w:rsidR="00A85E04">
          <w:rPr>
            <w:webHidden/>
          </w:rPr>
          <w:instrText xml:space="preserve"> PAGEREF _Toc507407595 \h </w:instrText>
        </w:r>
        <w:r w:rsidR="00A85E04">
          <w:rPr>
            <w:webHidden/>
          </w:rPr>
        </w:r>
        <w:r w:rsidR="00A85E04">
          <w:rPr>
            <w:webHidden/>
          </w:rPr>
          <w:fldChar w:fldCharType="separate"/>
        </w:r>
        <w:r w:rsidR="00A85E04">
          <w:rPr>
            <w:webHidden/>
          </w:rPr>
          <w:t>8</w:t>
        </w:r>
        <w:r w:rsidR="00A85E04">
          <w:rPr>
            <w:webHidden/>
          </w:rPr>
          <w:fldChar w:fldCharType="end"/>
        </w:r>
      </w:hyperlink>
    </w:p>
    <w:p w:rsidR="00A85E04" w:rsidRDefault="00720328">
      <w:pPr>
        <w:pStyle w:val="TM3"/>
        <w:rPr>
          <w:rFonts w:asciiTheme="minorHAnsi" w:eastAsiaTheme="minorEastAsia" w:hAnsiTheme="minorHAnsi" w:cstheme="minorBidi"/>
          <w:sz w:val="22"/>
          <w:szCs w:val="22"/>
        </w:rPr>
      </w:pPr>
      <w:hyperlink w:anchor="_Toc507407596" w:history="1">
        <w:r w:rsidR="00A85E04" w:rsidRPr="00FC0C67">
          <w:rPr>
            <w:rStyle w:val="Lienhypertexte"/>
          </w:rPr>
          <w:t>4.2.1 - Sur les aspects techniques</w:t>
        </w:r>
        <w:r w:rsidR="00A85E04">
          <w:rPr>
            <w:webHidden/>
          </w:rPr>
          <w:tab/>
        </w:r>
        <w:r w:rsidR="00A85E04">
          <w:rPr>
            <w:webHidden/>
          </w:rPr>
          <w:fldChar w:fldCharType="begin"/>
        </w:r>
        <w:r w:rsidR="00A85E04">
          <w:rPr>
            <w:webHidden/>
          </w:rPr>
          <w:instrText xml:space="preserve"> PAGEREF _Toc507407596 \h </w:instrText>
        </w:r>
        <w:r w:rsidR="00A85E04">
          <w:rPr>
            <w:webHidden/>
          </w:rPr>
        </w:r>
        <w:r w:rsidR="00A85E04">
          <w:rPr>
            <w:webHidden/>
          </w:rPr>
          <w:fldChar w:fldCharType="separate"/>
        </w:r>
        <w:r w:rsidR="00A85E04">
          <w:rPr>
            <w:webHidden/>
          </w:rPr>
          <w:t>9</w:t>
        </w:r>
        <w:r w:rsidR="00A85E04">
          <w:rPr>
            <w:webHidden/>
          </w:rPr>
          <w:fldChar w:fldCharType="end"/>
        </w:r>
      </w:hyperlink>
    </w:p>
    <w:p w:rsidR="00A85E04" w:rsidRDefault="00720328">
      <w:pPr>
        <w:pStyle w:val="TM3"/>
        <w:rPr>
          <w:rFonts w:asciiTheme="minorHAnsi" w:eastAsiaTheme="minorEastAsia" w:hAnsiTheme="minorHAnsi" w:cstheme="minorBidi"/>
          <w:sz w:val="22"/>
          <w:szCs w:val="22"/>
        </w:rPr>
      </w:pPr>
      <w:hyperlink w:anchor="_Toc507407597" w:history="1">
        <w:r w:rsidR="00A85E04" w:rsidRPr="00FC0C67">
          <w:rPr>
            <w:rStyle w:val="Lienhypertexte"/>
          </w:rPr>
          <w:t>4.2.2 - Sur les moyens humains et matériels</w:t>
        </w:r>
        <w:r w:rsidR="00A85E04">
          <w:rPr>
            <w:webHidden/>
          </w:rPr>
          <w:tab/>
        </w:r>
        <w:r w:rsidR="00A85E04">
          <w:rPr>
            <w:webHidden/>
          </w:rPr>
          <w:fldChar w:fldCharType="begin"/>
        </w:r>
        <w:r w:rsidR="00A85E04">
          <w:rPr>
            <w:webHidden/>
          </w:rPr>
          <w:instrText xml:space="preserve"> PAGEREF _Toc507407597 \h </w:instrText>
        </w:r>
        <w:r w:rsidR="00A85E04">
          <w:rPr>
            <w:webHidden/>
          </w:rPr>
        </w:r>
        <w:r w:rsidR="00A85E04">
          <w:rPr>
            <w:webHidden/>
          </w:rPr>
          <w:fldChar w:fldCharType="separate"/>
        </w:r>
        <w:r w:rsidR="00A85E04">
          <w:rPr>
            <w:webHidden/>
          </w:rPr>
          <w:t>10</w:t>
        </w:r>
        <w:r w:rsidR="00A85E04">
          <w:rPr>
            <w:webHidden/>
          </w:rPr>
          <w:fldChar w:fldCharType="end"/>
        </w:r>
      </w:hyperlink>
    </w:p>
    <w:p w:rsidR="00A85E04" w:rsidRDefault="00720328">
      <w:pPr>
        <w:pStyle w:val="TM3"/>
        <w:rPr>
          <w:rFonts w:asciiTheme="minorHAnsi" w:eastAsiaTheme="minorEastAsia" w:hAnsiTheme="minorHAnsi" w:cstheme="minorBidi"/>
          <w:sz w:val="22"/>
          <w:szCs w:val="22"/>
        </w:rPr>
      </w:pPr>
      <w:hyperlink w:anchor="_Toc507407598" w:history="1">
        <w:r w:rsidR="00A85E04" w:rsidRPr="00FC0C67">
          <w:rPr>
            <w:rStyle w:val="Lienhypertexte"/>
          </w:rPr>
          <w:t>4.2.3 - Sur la production de déchets</w:t>
        </w:r>
        <w:r w:rsidR="00A85E04">
          <w:rPr>
            <w:webHidden/>
          </w:rPr>
          <w:tab/>
        </w:r>
        <w:r w:rsidR="00A85E04">
          <w:rPr>
            <w:webHidden/>
          </w:rPr>
          <w:fldChar w:fldCharType="begin"/>
        </w:r>
        <w:r w:rsidR="00A85E04">
          <w:rPr>
            <w:webHidden/>
          </w:rPr>
          <w:instrText xml:space="preserve"> PAGEREF _Toc507407598 \h </w:instrText>
        </w:r>
        <w:r w:rsidR="00A85E04">
          <w:rPr>
            <w:webHidden/>
          </w:rPr>
        </w:r>
        <w:r w:rsidR="00A85E04">
          <w:rPr>
            <w:webHidden/>
          </w:rPr>
          <w:fldChar w:fldCharType="separate"/>
        </w:r>
        <w:r w:rsidR="00A85E04">
          <w:rPr>
            <w:webHidden/>
          </w:rPr>
          <w:t>10</w:t>
        </w:r>
        <w:r w:rsidR="00A85E04">
          <w:rPr>
            <w:webHidden/>
          </w:rPr>
          <w:fldChar w:fldCharType="end"/>
        </w:r>
      </w:hyperlink>
    </w:p>
    <w:p w:rsidR="00A85E04" w:rsidRDefault="00720328">
      <w:pPr>
        <w:pStyle w:val="TM3"/>
        <w:rPr>
          <w:rFonts w:asciiTheme="minorHAnsi" w:eastAsiaTheme="minorEastAsia" w:hAnsiTheme="minorHAnsi" w:cstheme="minorBidi"/>
          <w:sz w:val="22"/>
          <w:szCs w:val="22"/>
        </w:rPr>
      </w:pPr>
      <w:hyperlink w:anchor="_Toc507407599" w:history="1">
        <w:r w:rsidR="00A85E04" w:rsidRPr="00FC0C67">
          <w:rPr>
            <w:rStyle w:val="Lienhypertexte"/>
          </w:rPr>
          <w:t>4.2.4 - Sur la faisabilité réglementaire</w:t>
        </w:r>
        <w:r w:rsidR="00A85E04">
          <w:rPr>
            <w:webHidden/>
          </w:rPr>
          <w:tab/>
        </w:r>
        <w:r w:rsidR="00A85E04">
          <w:rPr>
            <w:webHidden/>
          </w:rPr>
          <w:fldChar w:fldCharType="begin"/>
        </w:r>
        <w:r w:rsidR="00A85E04">
          <w:rPr>
            <w:webHidden/>
          </w:rPr>
          <w:instrText xml:space="preserve"> PAGEREF _Toc507407599 \h </w:instrText>
        </w:r>
        <w:r w:rsidR="00A85E04">
          <w:rPr>
            <w:webHidden/>
          </w:rPr>
        </w:r>
        <w:r w:rsidR="00A85E04">
          <w:rPr>
            <w:webHidden/>
          </w:rPr>
          <w:fldChar w:fldCharType="separate"/>
        </w:r>
        <w:r w:rsidR="00A85E04">
          <w:rPr>
            <w:webHidden/>
          </w:rPr>
          <w:t>10</w:t>
        </w:r>
        <w:r w:rsidR="00A85E04">
          <w:rPr>
            <w:webHidden/>
          </w:rPr>
          <w:fldChar w:fldCharType="end"/>
        </w:r>
      </w:hyperlink>
    </w:p>
    <w:p w:rsidR="00A85E04" w:rsidRDefault="00720328">
      <w:pPr>
        <w:pStyle w:val="TM2"/>
        <w:rPr>
          <w:rFonts w:asciiTheme="minorHAnsi" w:eastAsiaTheme="minorEastAsia" w:hAnsiTheme="minorHAnsi" w:cstheme="minorBidi"/>
          <w:caps w:val="0"/>
          <w:sz w:val="22"/>
          <w:szCs w:val="22"/>
        </w:rPr>
      </w:pPr>
      <w:hyperlink w:anchor="_Toc507407600" w:history="1">
        <w:r w:rsidR="00A85E04" w:rsidRPr="00FC0C67">
          <w:rPr>
            <w:rStyle w:val="Lienhypertexte"/>
          </w:rPr>
          <w:t>4.3 - Etape 3 : Approfondissement du scénario retenu – Plan d’actions</w:t>
        </w:r>
        <w:r w:rsidR="00A85E04">
          <w:rPr>
            <w:webHidden/>
          </w:rPr>
          <w:tab/>
        </w:r>
        <w:r w:rsidR="00A85E04">
          <w:rPr>
            <w:webHidden/>
          </w:rPr>
          <w:fldChar w:fldCharType="begin"/>
        </w:r>
        <w:r w:rsidR="00A85E04">
          <w:rPr>
            <w:webHidden/>
          </w:rPr>
          <w:instrText xml:space="preserve"> PAGEREF _Toc507407600 \h </w:instrText>
        </w:r>
        <w:r w:rsidR="00A85E04">
          <w:rPr>
            <w:webHidden/>
          </w:rPr>
        </w:r>
        <w:r w:rsidR="00A85E04">
          <w:rPr>
            <w:webHidden/>
          </w:rPr>
          <w:fldChar w:fldCharType="separate"/>
        </w:r>
        <w:r w:rsidR="00A85E04">
          <w:rPr>
            <w:webHidden/>
          </w:rPr>
          <w:t>12</w:t>
        </w:r>
        <w:r w:rsidR="00A85E04">
          <w:rPr>
            <w:webHidden/>
          </w:rPr>
          <w:fldChar w:fldCharType="end"/>
        </w:r>
      </w:hyperlink>
    </w:p>
    <w:p w:rsidR="00A85E04" w:rsidRDefault="00720328">
      <w:pPr>
        <w:pStyle w:val="TM1"/>
        <w:rPr>
          <w:rFonts w:asciiTheme="minorHAnsi" w:eastAsiaTheme="minorEastAsia" w:hAnsiTheme="minorHAnsi" w:cstheme="minorBidi"/>
          <w:b w:val="0"/>
          <w:caps w:val="0"/>
          <w:color w:val="auto"/>
          <w:sz w:val="22"/>
          <w:szCs w:val="22"/>
        </w:rPr>
      </w:pPr>
      <w:hyperlink w:anchor="_Toc507407601" w:history="1">
        <w:r w:rsidR="00A85E04" w:rsidRPr="00FC0C67">
          <w:rPr>
            <w:rStyle w:val="Lienhypertexte"/>
          </w:rPr>
          <w:t>5 - Rendus / Livrables</w:t>
        </w:r>
        <w:r w:rsidR="00A85E04">
          <w:rPr>
            <w:webHidden/>
          </w:rPr>
          <w:tab/>
        </w:r>
        <w:r w:rsidR="00A85E04">
          <w:rPr>
            <w:webHidden/>
          </w:rPr>
          <w:fldChar w:fldCharType="begin"/>
        </w:r>
        <w:r w:rsidR="00A85E04">
          <w:rPr>
            <w:webHidden/>
          </w:rPr>
          <w:instrText xml:space="preserve"> PAGEREF _Toc507407601 \h </w:instrText>
        </w:r>
        <w:r w:rsidR="00A85E04">
          <w:rPr>
            <w:webHidden/>
          </w:rPr>
        </w:r>
        <w:r w:rsidR="00A85E04">
          <w:rPr>
            <w:webHidden/>
          </w:rPr>
          <w:fldChar w:fldCharType="separate"/>
        </w:r>
        <w:r w:rsidR="00A85E04">
          <w:rPr>
            <w:webHidden/>
          </w:rPr>
          <w:t>12</w:t>
        </w:r>
        <w:r w:rsidR="00A85E04">
          <w:rPr>
            <w:webHidden/>
          </w:rPr>
          <w:fldChar w:fldCharType="end"/>
        </w:r>
      </w:hyperlink>
    </w:p>
    <w:p w:rsidR="00A85E04" w:rsidRDefault="00720328">
      <w:pPr>
        <w:pStyle w:val="TM1"/>
        <w:rPr>
          <w:rFonts w:asciiTheme="minorHAnsi" w:eastAsiaTheme="minorEastAsia" w:hAnsiTheme="minorHAnsi" w:cstheme="minorBidi"/>
          <w:b w:val="0"/>
          <w:caps w:val="0"/>
          <w:color w:val="auto"/>
          <w:sz w:val="22"/>
          <w:szCs w:val="22"/>
        </w:rPr>
      </w:pPr>
      <w:hyperlink w:anchor="_Toc507407602" w:history="1">
        <w:r w:rsidR="00A85E04" w:rsidRPr="00FC0C67">
          <w:rPr>
            <w:rStyle w:val="Lienhypertexte"/>
          </w:rPr>
          <w:t>6 - Comité de pilotage</w:t>
        </w:r>
        <w:r w:rsidR="00A85E04">
          <w:rPr>
            <w:webHidden/>
          </w:rPr>
          <w:tab/>
        </w:r>
        <w:r w:rsidR="00A85E04">
          <w:rPr>
            <w:webHidden/>
          </w:rPr>
          <w:fldChar w:fldCharType="begin"/>
        </w:r>
        <w:r w:rsidR="00A85E04">
          <w:rPr>
            <w:webHidden/>
          </w:rPr>
          <w:instrText xml:space="preserve"> PAGEREF _Toc507407602 \h </w:instrText>
        </w:r>
        <w:r w:rsidR="00A85E04">
          <w:rPr>
            <w:webHidden/>
          </w:rPr>
        </w:r>
        <w:r w:rsidR="00A85E04">
          <w:rPr>
            <w:webHidden/>
          </w:rPr>
          <w:fldChar w:fldCharType="separate"/>
        </w:r>
        <w:r w:rsidR="00A85E04">
          <w:rPr>
            <w:webHidden/>
          </w:rPr>
          <w:t>13</w:t>
        </w:r>
        <w:r w:rsidR="00A85E04">
          <w:rPr>
            <w:webHidden/>
          </w:rPr>
          <w:fldChar w:fldCharType="end"/>
        </w:r>
      </w:hyperlink>
    </w:p>
    <w:p w:rsidR="00A85E04" w:rsidRDefault="00720328">
      <w:pPr>
        <w:pStyle w:val="TM1"/>
        <w:rPr>
          <w:rFonts w:asciiTheme="minorHAnsi" w:eastAsiaTheme="minorEastAsia" w:hAnsiTheme="minorHAnsi" w:cstheme="minorBidi"/>
          <w:b w:val="0"/>
          <w:caps w:val="0"/>
          <w:color w:val="auto"/>
          <w:sz w:val="22"/>
          <w:szCs w:val="22"/>
        </w:rPr>
      </w:pPr>
      <w:hyperlink w:anchor="_Toc507407603" w:history="1">
        <w:r w:rsidR="00A85E04" w:rsidRPr="00FC0C67">
          <w:rPr>
            <w:rStyle w:val="Lienhypertexte"/>
          </w:rPr>
          <w:t>7 - RESTITUTION ET CONFIDENTIALITE</w:t>
        </w:r>
        <w:r w:rsidR="00A85E04">
          <w:rPr>
            <w:webHidden/>
          </w:rPr>
          <w:tab/>
        </w:r>
        <w:r w:rsidR="00A85E04">
          <w:rPr>
            <w:webHidden/>
          </w:rPr>
          <w:fldChar w:fldCharType="begin"/>
        </w:r>
        <w:r w:rsidR="00A85E04">
          <w:rPr>
            <w:webHidden/>
          </w:rPr>
          <w:instrText xml:space="preserve"> PAGEREF _Toc507407603 \h </w:instrText>
        </w:r>
        <w:r w:rsidR="00A85E04">
          <w:rPr>
            <w:webHidden/>
          </w:rPr>
        </w:r>
        <w:r w:rsidR="00A85E04">
          <w:rPr>
            <w:webHidden/>
          </w:rPr>
          <w:fldChar w:fldCharType="separate"/>
        </w:r>
        <w:r w:rsidR="00A85E04">
          <w:rPr>
            <w:webHidden/>
          </w:rPr>
          <w:t>13</w:t>
        </w:r>
        <w:r w:rsidR="00A85E04">
          <w:rPr>
            <w:webHidden/>
          </w:rPr>
          <w:fldChar w:fldCharType="end"/>
        </w:r>
      </w:hyperlink>
    </w:p>
    <w:p w:rsidR="00A85E04" w:rsidRDefault="00720328">
      <w:pPr>
        <w:pStyle w:val="TM1"/>
        <w:rPr>
          <w:rFonts w:asciiTheme="minorHAnsi" w:eastAsiaTheme="minorEastAsia" w:hAnsiTheme="minorHAnsi" w:cstheme="minorBidi"/>
          <w:b w:val="0"/>
          <w:caps w:val="0"/>
          <w:color w:val="auto"/>
          <w:sz w:val="22"/>
          <w:szCs w:val="22"/>
        </w:rPr>
      </w:pPr>
      <w:hyperlink w:anchor="_Toc507407604" w:history="1">
        <w:r w:rsidR="00A85E04" w:rsidRPr="00FC0C67">
          <w:rPr>
            <w:rStyle w:val="Lienhypertexte"/>
          </w:rPr>
          <w:t>8 - COÛT DE LA MISSION</w:t>
        </w:r>
        <w:r w:rsidR="00A85E04">
          <w:rPr>
            <w:webHidden/>
          </w:rPr>
          <w:tab/>
        </w:r>
        <w:r w:rsidR="00A85E04">
          <w:rPr>
            <w:webHidden/>
          </w:rPr>
          <w:fldChar w:fldCharType="begin"/>
        </w:r>
        <w:r w:rsidR="00A85E04">
          <w:rPr>
            <w:webHidden/>
          </w:rPr>
          <w:instrText xml:space="preserve"> PAGEREF _Toc507407604 \h </w:instrText>
        </w:r>
        <w:r w:rsidR="00A85E04">
          <w:rPr>
            <w:webHidden/>
          </w:rPr>
        </w:r>
        <w:r w:rsidR="00A85E04">
          <w:rPr>
            <w:webHidden/>
          </w:rPr>
          <w:fldChar w:fldCharType="separate"/>
        </w:r>
        <w:r w:rsidR="00A85E04">
          <w:rPr>
            <w:webHidden/>
          </w:rPr>
          <w:t>13</w:t>
        </w:r>
        <w:r w:rsidR="00A85E04">
          <w:rPr>
            <w:webHidden/>
          </w:rPr>
          <w:fldChar w:fldCharType="end"/>
        </w:r>
      </w:hyperlink>
    </w:p>
    <w:p w:rsidR="00A85E04" w:rsidRDefault="00720328">
      <w:pPr>
        <w:pStyle w:val="TM1"/>
        <w:rPr>
          <w:rFonts w:asciiTheme="minorHAnsi" w:eastAsiaTheme="minorEastAsia" w:hAnsiTheme="minorHAnsi" w:cstheme="minorBidi"/>
          <w:b w:val="0"/>
          <w:caps w:val="0"/>
          <w:color w:val="auto"/>
          <w:sz w:val="22"/>
          <w:szCs w:val="22"/>
        </w:rPr>
      </w:pPr>
      <w:hyperlink w:anchor="_Toc507407605" w:history="1">
        <w:r w:rsidR="00A85E04" w:rsidRPr="00FC0C67">
          <w:rPr>
            <w:rStyle w:val="Lienhypertexte"/>
          </w:rPr>
          <w:t>9 - CONTRÔLE</w:t>
        </w:r>
        <w:r w:rsidR="00A85E04">
          <w:rPr>
            <w:webHidden/>
          </w:rPr>
          <w:tab/>
        </w:r>
        <w:r w:rsidR="00A85E04">
          <w:rPr>
            <w:webHidden/>
          </w:rPr>
          <w:fldChar w:fldCharType="begin"/>
        </w:r>
        <w:r w:rsidR="00A85E04">
          <w:rPr>
            <w:webHidden/>
          </w:rPr>
          <w:instrText xml:space="preserve"> PAGEREF _Toc507407605 \h </w:instrText>
        </w:r>
        <w:r w:rsidR="00A85E04">
          <w:rPr>
            <w:webHidden/>
          </w:rPr>
        </w:r>
        <w:r w:rsidR="00A85E04">
          <w:rPr>
            <w:webHidden/>
          </w:rPr>
          <w:fldChar w:fldCharType="separate"/>
        </w:r>
        <w:r w:rsidR="00A85E04">
          <w:rPr>
            <w:webHidden/>
          </w:rPr>
          <w:t>13</w:t>
        </w:r>
        <w:r w:rsidR="00A85E04">
          <w:rPr>
            <w:webHidden/>
          </w:rPr>
          <w:fldChar w:fldCharType="end"/>
        </w:r>
      </w:hyperlink>
    </w:p>
    <w:p w:rsidR="00527582" w:rsidRDefault="00527582" w:rsidP="007657AD">
      <w:r>
        <w:fldChar w:fldCharType="end"/>
      </w:r>
    </w:p>
    <w:p w:rsidR="003E4CA6" w:rsidRDefault="00527582" w:rsidP="00602672">
      <w:pPr>
        <w:pStyle w:val="Titre1"/>
      </w:pPr>
      <w:r>
        <w:br w:type="page"/>
      </w:r>
      <w:bookmarkStart w:id="2" w:name="_Toc507407587"/>
      <w:r w:rsidR="003E4CA6">
        <w:lastRenderedPageBreak/>
        <w:t>PREAMBULE</w:t>
      </w:r>
      <w:bookmarkEnd w:id="1"/>
      <w:bookmarkEnd w:id="2"/>
    </w:p>
    <w:p w:rsidR="003E4CA6" w:rsidRDefault="003E4CA6" w:rsidP="007657AD">
      <w:pPr>
        <w:pStyle w:val="NormalGrandTitre1Ademe"/>
      </w:pPr>
      <w:r>
        <w:t>L’AIDE A LA DECISION DE L’ADEME</w:t>
      </w:r>
    </w:p>
    <w:p w:rsidR="003E4CA6" w:rsidRPr="0044591E" w:rsidRDefault="003E4CA6" w:rsidP="007657AD">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rsidR="003E4CA6" w:rsidRPr="0044591E" w:rsidRDefault="003E4CA6" w:rsidP="007657AD">
      <w:pPr>
        <w:pStyle w:val="PrambuleNormalAdeme"/>
      </w:pPr>
    </w:p>
    <w:p w:rsidR="003E4CA6" w:rsidRPr="0044591E" w:rsidRDefault="003E4CA6" w:rsidP="007657AD">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rsidR="003E4CA6" w:rsidRPr="0044591E" w:rsidRDefault="003E4CA6" w:rsidP="007657AD">
      <w:pPr>
        <w:pStyle w:val="PrambuleNormalAdeme"/>
      </w:pPr>
    </w:p>
    <w:p w:rsidR="0044591E" w:rsidRDefault="0044591E" w:rsidP="007657AD">
      <w:pPr>
        <w:pStyle w:val="PrambuleEncadrTexteAdeme"/>
      </w:pPr>
    </w:p>
    <w:p w:rsidR="003E4CA6" w:rsidRPr="0044591E" w:rsidRDefault="003E4CA6" w:rsidP="007657AD">
      <w:pPr>
        <w:pStyle w:val="PrambuleEncadrTitreAdeme"/>
      </w:pPr>
      <w:r w:rsidRPr="0044591E">
        <w:t>Les Cahiers des Charges de l’ADEME</w:t>
      </w:r>
    </w:p>
    <w:p w:rsidR="003E4CA6" w:rsidRPr="0044591E" w:rsidRDefault="003E4CA6" w:rsidP="007657AD">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rsidR="003E4CA6" w:rsidRPr="0044591E" w:rsidRDefault="003E4CA6" w:rsidP="007657AD">
      <w:pPr>
        <w:pStyle w:val="PrambuleEncadrTexteAdeme"/>
      </w:pPr>
    </w:p>
    <w:p w:rsidR="003E4CA6" w:rsidRPr="0044591E" w:rsidRDefault="003E4CA6" w:rsidP="007657AD">
      <w:pPr>
        <w:pStyle w:val="PrambuleEncadrTitreAdeme"/>
      </w:pPr>
      <w:r w:rsidRPr="0044591E">
        <w:t>Le suivi technique de l’ADEME</w:t>
      </w:r>
    </w:p>
    <w:p w:rsidR="003E4CA6" w:rsidRPr="0044591E" w:rsidRDefault="003E4CA6" w:rsidP="007657AD">
      <w:pPr>
        <w:pStyle w:val="PrambuleEncadrTexteAdeme"/>
      </w:pPr>
      <w:r w:rsidRPr="0044591E">
        <w:t xml:space="preserve">L’ADEME assure un conseil technique et un suivi de la prestation. </w:t>
      </w:r>
    </w:p>
    <w:p w:rsidR="003E4CA6" w:rsidRPr="0044591E" w:rsidRDefault="003E4CA6" w:rsidP="007657AD">
      <w:pPr>
        <w:pStyle w:val="PrambuleEncadrTexteAdeme"/>
      </w:pPr>
    </w:p>
    <w:p w:rsidR="003E4CA6" w:rsidRPr="0044591E" w:rsidRDefault="003E4CA6" w:rsidP="007657AD">
      <w:pPr>
        <w:pStyle w:val="PrambuleEncadrTexteAdeme"/>
      </w:pPr>
      <w:r w:rsidRPr="0044591E">
        <w:t xml:space="preserve">Pour ce faire, l’aide de l’ADEME implique une transmission des résultats de l’étude. Cette transmission d’information se fera par l’utilisation du portail Internet </w:t>
      </w:r>
      <w:r w:rsidRPr="0044591E">
        <w:rPr>
          <w:rStyle w:val="PrambuleGrasAdeme"/>
        </w:rPr>
        <w:t>DIAGADEME</w:t>
      </w:r>
      <w:r w:rsidRPr="0044591E">
        <w:t xml:space="preserve"> (</w:t>
      </w:r>
      <w:hyperlink r:id="rId10" w:history="1">
        <w:r w:rsidR="00635FB5" w:rsidRPr="0044591E">
          <w:rPr>
            <w:rStyle w:val="Lienhypertexte"/>
          </w:rPr>
          <w:t>www.diagademe.fr</w:t>
        </w:r>
      </w:hyperlink>
      <w:r w:rsidRPr="0044591E">
        <w:t>)  comprenant :</w:t>
      </w:r>
    </w:p>
    <w:p w:rsidR="003E4CA6" w:rsidRPr="0044591E" w:rsidRDefault="003E4CA6" w:rsidP="007657AD">
      <w:pPr>
        <w:pStyle w:val="PrambuleEncadrTexteAdeme"/>
      </w:pPr>
    </w:p>
    <w:p w:rsidR="003E4CA6" w:rsidRPr="0044591E" w:rsidRDefault="00635FB5" w:rsidP="007657AD">
      <w:pPr>
        <w:pStyle w:val="PrambuleEncadrTexteAdeme"/>
      </w:pPr>
      <w:r w:rsidRPr="0044591E">
        <w:t xml:space="preserve">- </w:t>
      </w:r>
      <w:r w:rsidR="003E4CA6" w:rsidRPr="0044591E">
        <w:t>Le rapport final d’étude</w:t>
      </w:r>
    </w:p>
    <w:p w:rsidR="003E4CA6" w:rsidRPr="0044591E" w:rsidRDefault="00635FB5" w:rsidP="007657AD">
      <w:pPr>
        <w:pStyle w:val="PrambuleEncadrTexteAdeme"/>
      </w:pPr>
      <w:r w:rsidRPr="0044591E">
        <w:t xml:space="preserve">- </w:t>
      </w:r>
      <w:r w:rsidR="003E4CA6" w:rsidRPr="0044591E">
        <w:t>Une fiche de synthèse complétée (figurant en annexe du présent cahier des charges).</w:t>
      </w:r>
    </w:p>
    <w:p w:rsidR="003E4CA6" w:rsidRPr="0044591E" w:rsidRDefault="003E4CA6" w:rsidP="007657AD">
      <w:pPr>
        <w:pStyle w:val="PrambuleEncadrTexteAdeme"/>
      </w:pPr>
    </w:p>
    <w:p w:rsidR="003E4CA6" w:rsidRPr="0044591E" w:rsidRDefault="003E4CA6" w:rsidP="007657AD">
      <w:pPr>
        <w:pStyle w:val="PrambuleEncadrTexteAdeme"/>
      </w:pPr>
      <w:r w:rsidRPr="0044591E">
        <w:t>Dans DIAGADEME :</w:t>
      </w:r>
    </w:p>
    <w:p w:rsidR="003E4CA6" w:rsidRPr="0044591E" w:rsidRDefault="003E4CA6" w:rsidP="007657AD">
      <w:pPr>
        <w:pStyle w:val="PrambuleEncadrTexteAdeme"/>
      </w:pPr>
      <w:r w:rsidRPr="0044591E">
        <w:t xml:space="preserve">1 - le </w:t>
      </w:r>
      <w:r w:rsidRPr="0044591E">
        <w:rPr>
          <w:rStyle w:val="PrambuleGrasAdeme"/>
        </w:rPr>
        <w:t>prestataire conseil</w:t>
      </w:r>
      <w:r w:rsidRPr="0044591E">
        <w:t xml:space="preserve"> saisit les informations sur le résultat de l’étude</w:t>
      </w:r>
    </w:p>
    <w:p w:rsidR="003E4CA6" w:rsidRPr="0044591E" w:rsidRDefault="003E4CA6" w:rsidP="007657AD">
      <w:pPr>
        <w:pStyle w:val="PrambuleEncadrTexteAdeme"/>
      </w:pPr>
      <w:r w:rsidRPr="0044591E">
        <w:t xml:space="preserve">2 - le </w:t>
      </w:r>
      <w:r w:rsidRPr="0044591E">
        <w:rPr>
          <w:rStyle w:val="PrambuleGrasAdeme"/>
        </w:rPr>
        <w:t>bénéficiaire</w:t>
      </w:r>
      <w:r w:rsidRPr="0044591E">
        <w:t xml:space="preserve"> de l’aide de l’ADEME (maître d’ouvrage) saisit son bilan de satisfaction sur la</w:t>
      </w:r>
    </w:p>
    <w:p w:rsidR="003E4CA6" w:rsidRPr="0044591E" w:rsidRDefault="003E4CA6" w:rsidP="007657AD">
      <w:pPr>
        <w:pStyle w:val="PrambuleEncadrTexteAdeme"/>
      </w:pPr>
      <w:r w:rsidRPr="0044591E">
        <w:t>prestation</w:t>
      </w:r>
    </w:p>
    <w:p w:rsidR="003E4CA6" w:rsidRPr="0044591E" w:rsidRDefault="003E4CA6" w:rsidP="007657AD">
      <w:pPr>
        <w:pStyle w:val="PrambuleEncadrTexteAdeme"/>
      </w:pPr>
    </w:p>
    <w:p w:rsidR="003E4CA6" w:rsidRPr="0044591E" w:rsidRDefault="003E4CA6" w:rsidP="007657AD">
      <w:pPr>
        <w:pStyle w:val="PrambuleEncadrTexteAdeme"/>
        <w:rPr>
          <w:rStyle w:val="PrambuleGrasAdeme"/>
        </w:rPr>
      </w:pPr>
      <w:r w:rsidRPr="0044591E">
        <w:rPr>
          <w:rStyle w:val="PrambuleGrasAdeme"/>
        </w:rPr>
        <w:t>Compléter DIAGADEME est obligatoire et conditionne le paiement final de la subvention par l’ADEME au bénéficiaire.</w:t>
      </w:r>
    </w:p>
    <w:p w:rsidR="003E4CA6" w:rsidRPr="0044591E" w:rsidRDefault="003E4CA6" w:rsidP="007657AD">
      <w:pPr>
        <w:pStyle w:val="PrambuleEncadrTexteAdeme"/>
      </w:pPr>
      <w:r w:rsidRPr="0044591E">
        <w:t xml:space="preserve"> </w:t>
      </w:r>
    </w:p>
    <w:p w:rsidR="003E4CA6" w:rsidRPr="0044591E" w:rsidRDefault="003E4CA6" w:rsidP="007657AD">
      <w:pPr>
        <w:pStyle w:val="PrambuleEncadrTexteAdeme"/>
      </w:pPr>
      <w:r w:rsidRPr="0044591E">
        <w:t xml:space="preserve">La confidentialité de ces informations est garantie par l’utilisation des codes d’accès strictement personnels. Les informations ne sont accessibles que par l’ADEME, le prestataire et bénéficiaire du soutien de l’ADEME.  </w:t>
      </w:r>
    </w:p>
    <w:p w:rsidR="003E4CA6" w:rsidRPr="0044591E" w:rsidRDefault="003E4CA6" w:rsidP="007657AD">
      <w:pPr>
        <w:pStyle w:val="PrambuleEncadrTexteAdeme"/>
      </w:pPr>
    </w:p>
    <w:p w:rsidR="003E4CA6" w:rsidRPr="0044591E" w:rsidRDefault="003E4CA6" w:rsidP="007657AD">
      <w:pPr>
        <w:pStyle w:val="PrambuleEncadrTitreAdeme"/>
      </w:pPr>
      <w:r w:rsidRPr="0044591E">
        <w:t>Contrôle – Bilan des études financées par l’ADEME</w:t>
      </w:r>
    </w:p>
    <w:p w:rsidR="003E4CA6" w:rsidRPr="0044591E" w:rsidRDefault="003E4CA6" w:rsidP="007657AD">
      <w:pPr>
        <w:pStyle w:val="PrambuleEncadrTexteAdeme"/>
      </w:pPr>
      <w:r w:rsidRPr="0044591E">
        <w:t>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rsidR="00635FB5" w:rsidRPr="0044591E" w:rsidRDefault="00635FB5" w:rsidP="007657AD">
      <w:pPr>
        <w:pStyle w:val="PrambuleEncadrTexteAdeme"/>
      </w:pPr>
    </w:p>
    <w:p w:rsidR="0044591E" w:rsidRDefault="0044591E" w:rsidP="007657AD">
      <w:pPr>
        <w:pStyle w:val="PrambuleNormalAdeme"/>
      </w:pPr>
    </w:p>
    <w:p w:rsidR="00E63573" w:rsidRDefault="003E4CA6" w:rsidP="007657AD">
      <w:pPr>
        <w:pStyle w:val="PrambuleFondTexteAdeme"/>
        <w:sectPr w:rsidR="00E63573" w:rsidSect="00D871CB">
          <w:footerReference w:type="default" r:id="rId11"/>
          <w:pgSz w:w="11906" w:h="16838"/>
          <w:pgMar w:top="902" w:right="1418" w:bottom="1418" w:left="1418" w:header="709" w:footer="709"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rsidR="00F83FD0" w:rsidRDefault="00B933AE" w:rsidP="007657AD">
      <w:pPr>
        <w:pStyle w:val="NormalGrandTitre1Ademe"/>
      </w:pPr>
      <w:r w:rsidRPr="00B933AE">
        <w:lastRenderedPageBreak/>
        <w:t>ETUDE PREALABLE A L’INSTAURATION D’UN DISPOSITIF DE TRI A LA SOURCE DES BIODECHETS INCLUANT UNE COLLECTE SEPAREE DE CES DERNIERS</w:t>
      </w:r>
    </w:p>
    <w:p w:rsidR="00B933AE" w:rsidRPr="00B933AE" w:rsidRDefault="00B933AE" w:rsidP="007657AD">
      <w:r w:rsidRPr="00B933AE">
        <w:t>La présente</w:t>
      </w:r>
      <w:r w:rsidRPr="00B933AE">
        <w:rPr>
          <w:bCs/>
        </w:rPr>
        <w:t xml:space="preserve"> note correspond au minimum des éléments à prendre en compte par une collectivité dans la rédaction d'un cahier des charges</w:t>
      </w:r>
      <w:r w:rsidRPr="00B933AE">
        <w:t xml:space="preserve"> pour l'étude préalable à l’instauration d’un dispositif de tri à la source des biodéchets incluant une collecte séparée de ces derniers.</w:t>
      </w:r>
    </w:p>
    <w:p w:rsidR="00B933AE" w:rsidRPr="00B933AE" w:rsidRDefault="00B933AE" w:rsidP="007657AD"/>
    <w:p w:rsidR="00B933AE" w:rsidRPr="00B933AE" w:rsidRDefault="00B933AE" w:rsidP="007657AD">
      <w:r w:rsidRPr="00B933AE">
        <w:t>Cette note ne doit pas être interprétée comme un cahier des charges « type » mais comme un soutien apporté par l’ADEME dans un processus de réflexion d’implantation de dispositifs de tri à la source des biodéchets.</w:t>
      </w:r>
    </w:p>
    <w:p w:rsidR="00F83FD0" w:rsidRPr="00F83FD0" w:rsidRDefault="00F83FD0" w:rsidP="00602672">
      <w:pPr>
        <w:pStyle w:val="Titre1"/>
      </w:pPr>
      <w:bookmarkStart w:id="3" w:name="_Toc507407588"/>
      <w:r w:rsidRPr="00F83FD0">
        <w:t>Contexte</w:t>
      </w:r>
      <w:bookmarkEnd w:id="3"/>
    </w:p>
    <w:p w:rsidR="00B933AE" w:rsidRPr="009A5223" w:rsidRDefault="00B933AE" w:rsidP="007657AD">
      <w:pPr>
        <w:rPr>
          <w:rFonts w:asciiTheme="minorHAnsi" w:hAnsiTheme="minorHAnsi"/>
        </w:rPr>
      </w:pPr>
      <w:r w:rsidRPr="009A5223">
        <w:rPr>
          <w:rFonts w:asciiTheme="minorHAnsi" w:hAnsiTheme="minorHAnsi"/>
        </w:rPr>
        <w:t>Règlementairement, la loi du 17 août 2015 sur la transition énergétique pour la croissance verte (LTECV) fixe pour objectif la diminution de 50 % des déchets non dangereux non inertes mis en décharge en 2025 par rapport à 2010 (- 30 % en 2020).</w:t>
      </w:r>
    </w:p>
    <w:p w:rsidR="00B933AE" w:rsidRPr="009A5223" w:rsidRDefault="00B933AE" w:rsidP="007657AD">
      <w:pPr>
        <w:rPr>
          <w:rFonts w:asciiTheme="minorHAnsi" w:hAnsiTheme="minorHAnsi"/>
        </w:rPr>
      </w:pPr>
      <w:r w:rsidRPr="009A5223">
        <w:rPr>
          <w:rFonts w:asciiTheme="minorHAnsi" w:hAnsiTheme="minorHAnsi"/>
        </w:rPr>
        <w:t xml:space="preserve">Pour concourir à l’atteinte de cet objectif, la loi prévoit dans son article 70 : « Augmenter la quantité de déchets faisant l'objet d'une valorisation sous forme de matière, notamment organique, en orientant vers ces filières de valorisation, respectivement, 55 % en 2020 et 65 % en 2025 des déchets non dangereux non inertes, mesurés en masse. Le service public de gestion des déchets décline localement ces objectifs pour réduire les quantités d'ordures ménagères résiduelles après valorisation. A cet effet, il progresse dans le </w:t>
      </w:r>
      <w:r w:rsidRPr="009A5223">
        <w:rPr>
          <w:rFonts w:asciiTheme="minorHAnsi" w:hAnsiTheme="minorHAnsi"/>
          <w:u w:val="single"/>
        </w:rPr>
        <w:t>développement du tri à la source des déchets organiques, jusqu'à sa généralisation pour tous les producteurs de déchets avant 2025, pour que chaque citoyen ait à sa disposition une solution lui permettant de ne pas jeter ses biodéchets dans les ordures ménagères résiduelles</w:t>
      </w:r>
      <w:r w:rsidRPr="009A5223">
        <w:rPr>
          <w:rFonts w:asciiTheme="minorHAnsi" w:hAnsiTheme="minorHAnsi"/>
        </w:rPr>
        <w:t>, afin que ceux-ci ne soient plus éliminés, mais valorisés. La collectivité territoriale définit des solutions techniques de compostage de proximité ou de collecte séparée des biodéchets et un rythme de déploiement adaptés à son territoire. »</w:t>
      </w:r>
    </w:p>
    <w:p w:rsidR="00B933AE" w:rsidRPr="009A5223" w:rsidRDefault="00B933AE" w:rsidP="007657AD">
      <w:pPr>
        <w:rPr>
          <w:rFonts w:asciiTheme="minorHAnsi" w:hAnsiTheme="minorHAnsi"/>
        </w:rPr>
      </w:pPr>
    </w:p>
    <w:p w:rsidR="00B933AE" w:rsidRPr="009A5223" w:rsidRDefault="00B933AE" w:rsidP="007657AD">
      <w:pPr>
        <w:rPr>
          <w:rFonts w:asciiTheme="minorHAnsi" w:hAnsiTheme="minorHAnsi"/>
        </w:rPr>
      </w:pPr>
      <w:r w:rsidRPr="009A5223">
        <w:rPr>
          <w:rFonts w:asciiTheme="minorHAnsi" w:hAnsiTheme="minorHAnsi"/>
        </w:rPr>
        <w:t xml:space="preserve">Les gros producteurs sont quant à eux concernés par La loi du 12 juillet 2010 portant engagement national pour l’environnement, dite loi Grenelle 2 qui leur impose le tri et la valorisation de leurs biodéchets dès lors que leur production dépasse 10 t/an de biodéchets et 60 l/an de déchets d’huiles alimentaires. </w:t>
      </w:r>
    </w:p>
    <w:p w:rsidR="00B933AE" w:rsidRPr="009A5223" w:rsidRDefault="00B933AE" w:rsidP="007657AD">
      <w:pPr>
        <w:rPr>
          <w:rFonts w:asciiTheme="minorHAnsi" w:hAnsiTheme="minorHAnsi"/>
        </w:rPr>
      </w:pPr>
    </w:p>
    <w:p w:rsidR="00B933AE" w:rsidRPr="009A5223" w:rsidRDefault="00B933AE" w:rsidP="007657AD">
      <w:pPr>
        <w:rPr>
          <w:rFonts w:asciiTheme="minorHAnsi" w:hAnsiTheme="minorHAnsi"/>
        </w:rPr>
      </w:pPr>
      <w:r w:rsidRPr="009A5223">
        <w:rPr>
          <w:rFonts w:asciiTheme="minorHAnsi" w:hAnsiTheme="minorHAnsi"/>
        </w:rPr>
        <w:t>Les biodéchets sont définis par l’article R. 541-8 du Code de l’Environnement comme : « tout déchet non dangereux biodégradable de jardin ou de parc, tout déchet non dangereux alimentaire ou de cuisine issu notamment des ménages, des restaurants, des traiteurs ou des magasins de vente au détail, ainsi que tout déchet comparable provenant des établissements de production ou de transformation de denrées alimentaires. »</w:t>
      </w:r>
    </w:p>
    <w:p w:rsidR="00B933AE" w:rsidRPr="009A5223" w:rsidRDefault="00B933AE" w:rsidP="007657AD">
      <w:pPr>
        <w:rPr>
          <w:rFonts w:asciiTheme="minorHAnsi" w:hAnsiTheme="minorHAnsi"/>
          <w:highlight w:val="yellow"/>
        </w:rPr>
      </w:pPr>
    </w:p>
    <w:p w:rsidR="00B933AE" w:rsidRPr="009A5223" w:rsidRDefault="00B933AE" w:rsidP="007657AD">
      <w:pPr>
        <w:rPr>
          <w:rFonts w:asciiTheme="minorHAnsi" w:hAnsiTheme="minorHAnsi"/>
        </w:rPr>
      </w:pPr>
      <w:r w:rsidRPr="009A5223">
        <w:rPr>
          <w:rFonts w:asciiTheme="minorHAnsi" w:hAnsiTheme="minorHAnsi"/>
        </w:rPr>
        <w:t>Les biodéchets des ménages représentent un gisement de 18 millions de tonnes en France composé de :</w:t>
      </w:r>
    </w:p>
    <w:p w:rsidR="00B933AE" w:rsidRPr="009A5223" w:rsidRDefault="00B933AE" w:rsidP="00602672">
      <w:pPr>
        <w:pStyle w:val="Paragraphedeliste"/>
        <w:numPr>
          <w:ilvl w:val="0"/>
          <w:numId w:val="10"/>
        </w:numPr>
        <w:rPr>
          <w:rFonts w:asciiTheme="minorHAnsi" w:hAnsiTheme="minorHAnsi"/>
        </w:rPr>
      </w:pPr>
      <w:r w:rsidRPr="009A5223">
        <w:rPr>
          <w:rFonts w:asciiTheme="minorHAnsi" w:hAnsiTheme="minorHAnsi"/>
        </w:rPr>
        <w:t>Environ 5,1 Mt (soit 30 %) de déchets gérés à domicile (paillage, compostage …), essentiellement des déchets verts</w:t>
      </w:r>
    </w:p>
    <w:p w:rsidR="00B933AE" w:rsidRPr="009A5223" w:rsidRDefault="00B933AE" w:rsidP="00602672">
      <w:pPr>
        <w:pStyle w:val="Paragraphedeliste"/>
        <w:numPr>
          <w:ilvl w:val="0"/>
          <w:numId w:val="10"/>
        </w:numPr>
        <w:rPr>
          <w:rFonts w:asciiTheme="minorHAnsi" w:hAnsiTheme="minorHAnsi"/>
        </w:rPr>
      </w:pPr>
      <w:r w:rsidRPr="009A5223">
        <w:rPr>
          <w:rFonts w:asciiTheme="minorHAnsi" w:hAnsiTheme="minorHAnsi"/>
        </w:rPr>
        <w:t>4 Mt de déchets verts collectés en déchèteries (donnée 2015)</w:t>
      </w:r>
    </w:p>
    <w:p w:rsidR="00B933AE" w:rsidRPr="009A5223" w:rsidRDefault="00B933AE" w:rsidP="00602672">
      <w:pPr>
        <w:pStyle w:val="Paragraphedeliste"/>
        <w:numPr>
          <w:ilvl w:val="0"/>
          <w:numId w:val="10"/>
        </w:numPr>
        <w:rPr>
          <w:rFonts w:asciiTheme="minorHAnsi" w:hAnsiTheme="minorHAnsi"/>
        </w:rPr>
      </w:pPr>
      <w:r w:rsidRPr="009A5223">
        <w:rPr>
          <w:rFonts w:asciiTheme="minorHAnsi" w:hAnsiTheme="minorHAnsi"/>
        </w:rPr>
        <w:lastRenderedPageBreak/>
        <w:t>1,16 Mt de déchets collectés en porte à porte et en points de regroupement (hors déchèteries) (donnée 2015)</w:t>
      </w:r>
    </w:p>
    <w:p w:rsidR="00B933AE" w:rsidRPr="009A5223" w:rsidRDefault="00B933AE" w:rsidP="00602672">
      <w:pPr>
        <w:pStyle w:val="Paragraphedeliste"/>
        <w:numPr>
          <w:ilvl w:val="0"/>
          <w:numId w:val="10"/>
        </w:numPr>
        <w:rPr>
          <w:rFonts w:asciiTheme="minorHAnsi" w:hAnsiTheme="minorHAnsi"/>
        </w:rPr>
      </w:pPr>
      <w:r w:rsidRPr="009A5223">
        <w:rPr>
          <w:rFonts w:asciiTheme="minorHAnsi" w:hAnsiTheme="minorHAnsi"/>
        </w:rPr>
        <w:t>Le reste des biodéchets (déchets alimentaires et déchets verts) représente donc encore 40 % des ordures ménagères résiduelles soit près de 7 Mt, essentiellement de déchets alimentaires.</w:t>
      </w:r>
    </w:p>
    <w:p w:rsidR="00B933AE" w:rsidRPr="009A5223" w:rsidRDefault="00B933AE" w:rsidP="007657AD">
      <w:pPr>
        <w:rPr>
          <w:rFonts w:asciiTheme="minorHAnsi" w:hAnsiTheme="minorHAnsi"/>
        </w:rPr>
      </w:pPr>
    </w:p>
    <w:p w:rsidR="00B933AE" w:rsidRPr="009A5223" w:rsidRDefault="00B933AE" w:rsidP="007657AD">
      <w:pPr>
        <w:rPr>
          <w:rFonts w:asciiTheme="minorHAnsi" w:hAnsiTheme="minorHAnsi"/>
        </w:rPr>
      </w:pPr>
      <w:r w:rsidRPr="009A5223">
        <w:rPr>
          <w:rFonts w:asciiTheme="minorHAnsi" w:hAnsiTheme="minorHAnsi"/>
        </w:rPr>
        <w:t>Actuellement en France, la gestion des biodéchets des ménages repose soit sur une gestion de proximité (compostage domestique / partagé) soit sur une collecte séparée (au porte à porte ou en apport volontaire).</w:t>
      </w:r>
    </w:p>
    <w:p w:rsidR="00B933AE" w:rsidRPr="009A5223" w:rsidRDefault="00B933AE" w:rsidP="007657AD">
      <w:pPr>
        <w:rPr>
          <w:rFonts w:asciiTheme="minorHAnsi" w:hAnsiTheme="minorHAnsi"/>
        </w:rPr>
      </w:pPr>
    </w:p>
    <w:p w:rsidR="00B933AE" w:rsidRPr="009A5223" w:rsidRDefault="00B933AE" w:rsidP="007657AD">
      <w:pPr>
        <w:rPr>
          <w:rFonts w:asciiTheme="minorHAnsi" w:hAnsiTheme="minorHAnsi"/>
        </w:rPr>
      </w:pPr>
      <w:r w:rsidRPr="009A5223">
        <w:rPr>
          <w:rFonts w:asciiTheme="minorHAnsi" w:hAnsiTheme="minorHAnsi"/>
        </w:rPr>
        <w:t>Dans l’optique d’optimiser son service public de prévention et de gestion des déchets (SPPGD) et de contribuer à l’atteinte des objectifs fixés par la LTECV, la collectivité se doit de réfléchir au(x) dispositif(s) de tri à la source des biodéchets proposés à ses usagers.</w:t>
      </w:r>
    </w:p>
    <w:p w:rsidR="00B933AE" w:rsidRPr="009A5223" w:rsidRDefault="00B933AE" w:rsidP="007657AD">
      <w:pPr>
        <w:rPr>
          <w:rFonts w:asciiTheme="minorHAnsi" w:hAnsiTheme="minorHAnsi"/>
        </w:rPr>
      </w:pPr>
    </w:p>
    <w:p w:rsidR="00F83FD0" w:rsidRPr="00F83FD0" w:rsidRDefault="00F83FD0" w:rsidP="00602672">
      <w:pPr>
        <w:pStyle w:val="Titre1"/>
      </w:pPr>
      <w:bookmarkStart w:id="4" w:name="_Toc507407589"/>
      <w:r w:rsidRPr="00F83FD0">
        <w:t>Objectifs</w:t>
      </w:r>
      <w:bookmarkEnd w:id="4"/>
    </w:p>
    <w:p w:rsidR="00B933AE" w:rsidRPr="009A5223" w:rsidRDefault="00B933AE" w:rsidP="007657AD">
      <w:pPr>
        <w:rPr>
          <w:rFonts w:asciiTheme="minorHAnsi" w:hAnsiTheme="minorHAnsi"/>
        </w:rPr>
      </w:pPr>
      <w:r w:rsidRPr="009A5223">
        <w:rPr>
          <w:rFonts w:asciiTheme="minorHAnsi" w:hAnsiTheme="minorHAnsi"/>
        </w:rPr>
        <w:t>L’étude doit permettre d’évaluer l’opportunité et les conséquences d’instaurer un dispositif de tri à la source des biodéchets incluant une collecte séparée de ces derniers, d’un point de vue technique, économique et organisationnel.</w:t>
      </w:r>
    </w:p>
    <w:p w:rsidR="00B933AE" w:rsidRPr="009A5223" w:rsidRDefault="00B933AE" w:rsidP="007657AD">
      <w:pPr>
        <w:rPr>
          <w:rFonts w:asciiTheme="minorHAnsi" w:hAnsiTheme="minorHAnsi"/>
        </w:rPr>
      </w:pPr>
    </w:p>
    <w:p w:rsidR="00B933AE" w:rsidRPr="009A5223" w:rsidRDefault="00B933AE" w:rsidP="007657AD">
      <w:pPr>
        <w:rPr>
          <w:rFonts w:asciiTheme="minorHAnsi" w:hAnsiTheme="minorHAnsi"/>
        </w:rPr>
      </w:pPr>
      <w:r w:rsidRPr="009A5223">
        <w:rPr>
          <w:rFonts w:asciiTheme="minorHAnsi" w:hAnsiTheme="minorHAnsi"/>
        </w:rPr>
        <w:t>En premier lieu, il s’agira de s’interroger sur les points suivants :</w:t>
      </w:r>
    </w:p>
    <w:p w:rsidR="00B933AE" w:rsidRPr="009A5223" w:rsidRDefault="00B933AE" w:rsidP="00602672">
      <w:pPr>
        <w:pStyle w:val="Paragraphedeliste"/>
        <w:numPr>
          <w:ilvl w:val="0"/>
          <w:numId w:val="11"/>
        </w:numPr>
        <w:rPr>
          <w:rFonts w:asciiTheme="minorHAnsi" w:hAnsiTheme="minorHAnsi"/>
        </w:rPr>
      </w:pPr>
      <w:r w:rsidRPr="009A5223">
        <w:rPr>
          <w:rFonts w:asciiTheme="minorHAnsi" w:hAnsiTheme="minorHAnsi"/>
        </w:rPr>
        <w:t>Quel est le contexte du service public de prévention et de gestion des déchets (SPPGD) (fonctionnement technique de la collecte (fréquence, mode de collecte), contraintes sur les exutoires (proximité, disponibilité, fin d’autorisation d’exploiter...), mode de financement du service, projets d’évolution du service, gisements mobilisables (y compris ceux provenant des gros producteurs du territoire), composition des flux...) ?</w:t>
      </w:r>
    </w:p>
    <w:p w:rsidR="00B933AE" w:rsidRPr="009A5223" w:rsidRDefault="00B933AE" w:rsidP="00602672">
      <w:pPr>
        <w:pStyle w:val="Paragraphedeliste"/>
        <w:numPr>
          <w:ilvl w:val="0"/>
          <w:numId w:val="11"/>
        </w:numPr>
        <w:rPr>
          <w:rFonts w:asciiTheme="minorHAnsi" w:hAnsiTheme="minorHAnsi"/>
        </w:rPr>
      </w:pPr>
      <w:r w:rsidRPr="009A5223">
        <w:rPr>
          <w:rFonts w:asciiTheme="minorHAnsi" w:hAnsiTheme="minorHAnsi"/>
        </w:rPr>
        <w:t>Quelles sont les performances du SPPGD tant en terme de coûts du service que de tonnages collectés ?</w:t>
      </w:r>
    </w:p>
    <w:p w:rsidR="00B933AE" w:rsidRPr="009A5223" w:rsidRDefault="00B933AE" w:rsidP="00602672">
      <w:pPr>
        <w:pStyle w:val="Paragraphedeliste"/>
        <w:numPr>
          <w:ilvl w:val="0"/>
          <w:numId w:val="11"/>
        </w:numPr>
        <w:rPr>
          <w:rFonts w:asciiTheme="minorHAnsi" w:hAnsiTheme="minorHAnsi"/>
        </w:rPr>
      </w:pPr>
      <w:r w:rsidRPr="009A5223">
        <w:rPr>
          <w:rFonts w:asciiTheme="minorHAnsi" w:hAnsiTheme="minorHAnsi"/>
        </w:rPr>
        <w:t>Au-delà de l’obligation règlementaire de tri à la source des biodéchets, quel est le positionnement des élus sur le sujet ?</w:t>
      </w:r>
    </w:p>
    <w:p w:rsidR="00B933AE" w:rsidRPr="009A5223" w:rsidRDefault="00B933AE" w:rsidP="00602672">
      <w:pPr>
        <w:pStyle w:val="Paragraphedeliste"/>
        <w:numPr>
          <w:ilvl w:val="0"/>
          <w:numId w:val="11"/>
        </w:numPr>
        <w:rPr>
          <w:rFonts w:asciiTheme="minorHAnsi" w:hAnsiTheme="minorHAnsi"/>
        </w:rPr>
      </w:pPr>
      <w:r w:rsidRPr="009A5223">
        <w:rPr>
          <w:rFonts w:asciiTheme="minorHAnsi" w:hAnsiTheme="minorHAnsi"/>
        </w:rPr>
        <w:t>Quels sont les scénarii envisageables ? / Quelle complémentarité possible entre gestion de proximité et collecte séparée des biodéchets, notamment en fonction des caractéristiques de l’habitat ?</w:t>
      </w:r>
    </w:p>
    <w:p w:rsidR="00B933AE" w:rsidRPr="009A5223" w:rsidRDefault="00B933AE" w:rsidP="007657AD">
      <w:pPr>
        <w:rPr>
          <w:rFonts w:asciiTheme="minorHAnsi" w:hAnsiTheme="minorHAnsi"/>
        </w:rPr>
      </w:pPr>
      <w:r w:rsidRPr="009A5223">
        <w:rPr>
          <w:rFonts w:asciiTheme="minorHAnsi" w:hAnsiTheme="minorHAnsi"/>
        </w:rPr>
        <w:t xml:space="preserve">Dans un second temps, et après le choix du scénario par la collectivité, cette étude devra présenter un plan d’actions pour le déploiement du/des dispositif(s) de tri à la source des biodéchets, et notamment répondre à la question : </w:t>
      </w:r>
      <w:r w:rsidRPr="009A5223">
        <w:rPr>
          <w:rFonts w:asciiTheme="minorHAnsi" w:hAnsiTheme="minorHAnsi"/>
          <w:b/>
        </w:rPr>
        <w:t>Comment mettre en œuvre dans le contexte actuel le scénario choisi par la collectivité ?</w:t>
      </w:r>
    </w:p>
    <w:p w:rsidR="00B933AE" w:rsidRPr="009A5223" w:rsidRDefault="00B933AE" w:rsidP="007657AD">
      <w:pPr>
        <w:rPr>
          <w:rFonts w:asciiTheme="minorHAnsi" w:hAnsiTheme="minorHAnsi"/>
        </w:rPr>
      </w:pPr>
    </w:p>
    <w:p w:rsidR="00B933AE" w:rsidRPr="009A5223" w:rsidRDefault="00B933AE" w:rsidP="007657AD">
      <w:pPr>
        <w:rPr>
          <w:rFonts w:asciiTheme="minorHAnsi" w:hAnsiTheme="minorHAnsi"/>
        </w:rPr>
      </w:pPr>
      <w:r w:rsidRPr="009A5223">
        <w:rPr>
          <w:rFonts w:asciiTheme="minorHAnsi" w:hAnsiTheme="minorHAnsi"/>
        </w:rPr>
        <w:t xml:space="preserve">Cette étude va donc être réalisée en trois phases : </w:t>
      </w:r>
    </w:p>
    <w:p w:rsidR="00B933AE" w:rsidRPr="009A5223" w:rsidRDefault="00B933AE" w:rsidP="00602672">
      <w:pPr>
        <w:pStyle w:val="Paragraphedeliste"/>
        <w:numPr>
          <w:ilvl w:val="0"/>
          <w:numId w:val="12"/>
        </w:numPr>
        <w:rPr>
          <w:rFonts w:asciiTheme="minorHAnsi" w:hAnsiTheme="minorHAnsi"/>
        </w:rPr>
      </w:pPr>
      <w:r w:rsidRPr="009A5223">
        <w:rPr>
          <w:rFonts w:asciiTheme="minorHAnsi" w:hAnsiTheme="minorHAnsi"/>
        </w:rPr>
        <w:t>une phase de diagnostic – état des lieux</w:t>
      </w:r>
    </w:p>
    <w:p w:rsidR="00B933AE" w:rsidRPr="009A5223" w:rsidRDefault="00B933AE" w:rsidP="00602672">
      <w:pPr>
        <w:pStyle w:val="Paragraphedeliste"/>
        <w:numPr>
          <w:ilvl w:val="0"/>
          <w:numId w:val="12"/>
        </w:numPr>
        <w:rPr>
          <w:rFonts w:asciiTheme="minorHAnsi" w:hAnsiTheme="minorHAnsi"/>
        </w:rPr>
      </w:pPr>
      <w:r w:rsidRPr="009A5223">
        <w:rPr>
          <w:rFonts w:asciiTheme="minorHAnsi" w:hAnsiTheme="minorHAnsi"/>
        </w:rPr>
        <w:t>une phase d’étude des scénarios possibles</w:t>
      </w:r>
    </w:p>
    <w:p w:rsidR="00B933AE" w:rsidRPr="009A5223" w:rsidRDefault="00B933AE" w:rsidP="00602672">
      <w:pPr>
        <w:pStyle w:val="Paragraphedeliste"/>
        <w:numPr>
          <w:ilvl w:val="0"/>
          <w:numId w:val="12"/>
        </w:numPr>
        <w:rPr>
          <w:rFonts w:asciiTheme="minorHAnsi" w:hAnsiTheme="minorHAnsi"/>
        </w:rPr>
      </w:pPr>
      <w:r w:rsidRPr="009A5223">
        <w:rPr>
          <w:rFonts w:asciiTheme="minorHAnsi" w:hAnsiTheme="minorHAnsi"/>
        </w:rPr>
        <w:t>une phase d’approfondissement du scénario retenu intégrant la définition d’une zone test et d’un plan d’actions.</w:t>
      </w:r>
    </w:p>
    <w:p w:rsidR="00B933AE" w:rsidRPr="009A5223" w:rsidRDefault="00B933AE" w:rsidP="007657AD">
      <w:pPr>
        <w:rPr>
          <w:rFonts w:asciiTheme="minorHAnsi" w:hAnsiTheme="minorHAnsi"/>
        </w:rPr>
      </w:pPr>
      <w:r w:rsidRPr="009A5223">
        <w:rPr>
          <w:rFonts w:asciiTheme="minorHAnsi" w:hAnsiTheme="minorHAnsi"/>
        </w:rPr>
        <w:t>Les résultats attendus sont :</w:t>
      </w:r>
    </w:p>
    <w:p w:rsidR="00B933AE" w:rsidRPr="009A5223" w:rsidRDefault="00B933AE" w:rsidP="00602672">
      <w:pPr>
        <w:pStyle w:val="Paragraphedeliste"/>
        <w:numPr>
          <w:ilvl w:val="0"/>
          <w:numId w:val="13"/>
        </w:numPr>
        <w:rPr>
          <w:rFonts w:asciiTheme="minorHAnsi" w:hAnsiTheme="minorHAnsi"/>
        </w:rPr>
      </w:pPr>
      <w:r w:rsidRPr="009A5223">
        <w:rPr>
          <w:rFonts w:asciiTheme="minorHAnsi" w:hAnsiTheme="minorHAnsi"/>
        </w:rPr>
        <w:t>un rapport de diagnostic – état des lieux</w:t>
      </w:r>
    </w:p>
    <w:p w:rsidR="00B933AE" w:rsidRPr="009A5223" w:rsidRDefault="00B933AE" w:rsidP="00602672">
      <w:pPr>
        <w:pStyle w:val="Paragraphedeliste"/>
        <w:numPr>
          <w:ilvl w:val="0"/>
          <w:numId w:val="13"/>
        </w:numPr>
        <w:rPr>
          <w:rFonts w:asciiTheme="minorHAnsi" w:hAnsiTheme="minorHAnsi"/>
        </w:rPr>
      </w:pPr>
      <w:r w:rsidRPr="009A5223">
        <w:rPr>
          <w:rFonts w:asciiTheme="minorHAnsi" w:hAnsiTheme="minorHAnsi"/>
        </w:rPr>
        <w:t>des propositions de scénarii avec analyse des impacts de chacun</w:t>
      </w:r>
    </w:p>
    <w:p w:rsidR="00B933AE" w:rsidRPr="009A5223" w:rsidRDefault="00B933AE" w:rsidP="00602672">
      <w:pPr>
        <w:pStyle w:val="Paragraphedeliste"/>
        <w:numPr>
          <w:ilvl w:val="0"/>
          <w:numId w:val="13"/>
        </w:numPr>
        <w:rPr>
          <w:rFonts w:asciiTheme="minorHAnsi" w:hAnsiTheme="minorHAnsi"/>
        </w:rPr>
      </w:pPr>
      <w:r w:rsidRPr="009A5223">
        <w:rPr>
          <w:rFonts w:asciiTheme="minorHAnsi" w:hAnsiTheme="minorHAnsi"/>
        </w:rPr>
        <w:t>le plan d’actions pour la mise en œuvre du scénario choisi</w:t>
      </w:r>
    </w:p>
    <w:p w:rsidR="00B933AE" w:rsidRPr="009A5223" w:rsidRDefault="00B933AE" w:rsidP="00602672">
      <w:pPr>
        <w:pStyle w:val="Paragraphedeliste"/>
        <w:numPr>
          <w:ilvl w:val="0"/>
          <w:numId w:val="13"/>
        </w:numPr>
        <w:rPr>
          <w:rFonts w:asciiTheme="minorHAnsi" w:hAnsiTheme="minorHAnsi"/>
        </w:rPr>
      </w:pPr>
      <w:r w:rsidRPr="009A5223">
        <w:rPr>
          <w:rFonts w:asciiTheme="minorHAnsi" w:hAnsiTheme="minorHAnsi"/>
        </w:rPr>
        <w:t>(éventuellement, l’analyse des résultats obtenus sur la zone test).</w:t>
      </w:r>
    </w:p>
    <w:p w:rsidR="00F83FD0" w:rsidRPr="00F83FD0" w:rsidRDefault="00F83FD0" w:rsidP="00602672">
      <w:pPr>
        <w:pStyle w:val="Titre1"/>
      </w:pPr>
      <w:bookmarkStart w:id="5" w:name="_Toc507407590"/>
      <w:r w:rsidRPr="00F83FD0">
        <w:lastRenderedPageBreak/>
        <w:t>Etapes de travail</w:t>
      </w:r>
      <w:bookmarkEnd w:id="5"/>
    </w:p>
    <w:p w:rsidR="00F83FD0" w:rsidRPr="00F83FD0" w:rsidRDefault="00F83FD0" w:rsidP="007657AD">
      <w:pPr>
        <w:pStyle w:val="Titre2"/>
      </w:pPr>
      <w:bookmarkStart w:id="6" w:name="_Toc507407591"/>
      <w:r w:rsidRPr="00F83FD0">
        <w:t>Etape 1 : Analyse du contexte</w:t>
      </w:r>
      <w:bookmarkEnd w:id="6"/>
    </w:p>
    <w:p w:rsidR="00B933AE" w:rsidRPr="009A5223" w:rsidRDefault="00B933AE" w:rsidP="007657AD">
      <w:pPr>
        <w:rPr>
          <w:rFonts w:asciiTheme="minorHAnsi" w:hAnsiTheme="minorHAnsi"/>
        </w:rPr>
      </w:pPr>
      <w:r w:rsidRPr="009A5223">
        <w:rPr>
          <w:rFonts w:asciiTheme="minorHAnsi" w:hAnsiTheme="minorHAnsi"/>
        </w:rPr>
        <w:t xml:space="preserve">A minima, il s’agira d’identifier le gisement de biodéchets produits et potentiellement captables par typologie de déchets (déchets alimentaires et déchets verts) et par producteurs (ménages et gros producteurs). Néanmoins, il est préconisé de réaliser un audit plus large du SPPGD afin d’identifier les pistes d’optimisation du SPPGD qui permettront que l’instauration d’une collecte séparée des biodéchets ne génère pas une augmentation du coût de gestion des déchets ménagers et assimilés (DMA). Cet audit portera sur l’organisation technique du service, sur les spécificités du territoire, sur le coût et le financement du service </w:t>
      </w:r>
      <w:r w:rsidRPr="009A5223">
        <w:rPr>
          <w:rFonts w:asciiTheme="minorHAnsi" w:hAnsiTheme="minorHAnsi"/>
          <w:u w:val="single"/>
        </w:rPr>
        <w:t>actuel et prospectif</w:t>
      </w:r>
      <w:r w:rsidRPr="009A5223">
        <w:rPr>
          <w:rFonts w:asciiTheme="minorHAnsi" w:hAnsiTheme="minorHAnsi"/>
        </w:rPr>
        <w:t xml:space="preserve"> (c’est-à-dire intégrant les effets de l’optimisation prévue du SPPGD).</w:t>
      </w:r>
    </w:p>
    <w:p w:rsidR="00B933AE" w:rsidRPr="009A5223" w:rsidRDefault="00B933AE" w:rsidP="007657AD">
      <w:pPr>
        <w:pStyle w:val="Titre3"/>
        <w:rPr>
          <w:rFonts w:asciiTheme="minorHAnsi" w:hAnsiTheme="minorHAnsi"/>
        </w:rPr>
      </w:pPr>
      <w:bookmarkStart w:id="7" w:name="_Toc507407592"/>
      <w:r w:rsidRPr="009A5223">
        <w:rPr>
          <w:rFonts w:asciiTheme="minorHAnsi" w:hAnsiTheme="minorHAnsi"/>
        </w:rPr>
        <w:t>Analyse technique du service</w:t>
      </w:r>
      <w:bookmarkEnd w:id="7"/>
    </w:p>
    <w:p w:rsidR="00B933AE" w:rsidRPr="009A5223" w:rsidRDefault="00B933AE" w:rsidP="00602672">
      <w:pPr>
        <w:pStyle w:val="Paragraphedeliste"/>
        <w:numPr>
          <w:ilvl w:val="0"/>
          <w:numId w:val="15"/>
        </w:numPr>
        <w:rPr>
          <w:rFonts w:asciiTheme="minorHAnsi" w:hAnsiTheme="minorHAnsi"/>
          <w:sz w:val="24"/>
        </w:rPr>
      </w:pPr>
      <w:r w:rsidRPr="009A5223">
        <w:rPr>
          <w:rFonts w:asciiTheme="minorHAnsi" w:hAnsiTheme="minorHAnsi"/>
          <w:sz w:val="24"/>
        </w:rPr>
        <w:t>La production de déchets</w:t>
      </w:r>
    </w:p>
    <w:p w:rsidR="00B933AE" w:rsidRPr="009A5223" w:rsidRDefault="00B933AE" w:rsidP="00602672">
      <w:pPr>
        <w:pStyle w:val="Paragraphedeliste"/>
        <w:numPr>
          <w:ilvl w:val="0"/>
          <w:numId w:val="14"/>
        </w:numPr>
        <w:rPr>
          <w:rFonts w:asciiTheme="minorHAnsi" w:hAnsiTheme="minorHAnsi"/>
        </w:rPr>
      </w:pPr>
      <w:r w:rsidRPr="009A5223">
        <w:rPr>
          <w:rFonts w:asciiTheme="minorHAnsi" w:hAnsiTheme="minorHAnsi"/>
        </w:rPr>
        <w:t>la production des différents flux de déchets ;</w:t>
      </w:r>
    </w:p>
    <w:p w:rsidR="00B933AE" w:rsidRPr="009A5223" w:rsidRDefault="00B933AE" w:rsidP="00602672">
      <w:pPr>
        <w:pStyle w:val="Paragraphedeliste"/>
        <w:numPr>
          <w:ilvl w:val="0"/>
          <w:numId w:val="14"/>
        </w:numPr>
        <w:rPr>
          <w:rFonts w:asciiTheme="minorHAnsi" w:hAnsiTheme="minorHAnsi"/>
        </w:rPr>
      </w:pPr>
      <w:r w:rsidRPr="009A5223">
        <w:rPr>
          <w:rFonts w:asciiTheme="minorHAnsi" w:hAnsiTheme="minorHAnsi"/>
        </w:rPr>
        <w:t>la composition des flux collectés (identifiée par le biais d’une caractérisation) ;</w:t>
      </w:r>
    </w:p>
    <w:p w:rsidR="00B933AE" w:rsidRPr="009A5223" w:rsidRDefault="00B933AE" w:rsidP="00602672">
      <w:pPr>
        <w:pStyle w:val="Paragraphedeliste"/>
        <w:numPr>
          <w:ilvl w:val="0"/>
          <w:numId w:val="14"/>
        </w:numPr>
        <w:rPr>
          <w:rFonts w:asciiTheme="minorHAnsi" w:hAnsiTheme="minorHAnsi"/>
        </w:rPr>
      </w:pPr>
      <w:r w:rsidRPr="009A5223">
        <w:rPr>
          <w:rFonts w:asciiTheme="minorHAnsi" w:hAnsiTheme="minorHAnsi"/>
        </w:rPr>
        <w:t>les filières de réutilisation, de valorisation et de traitement auxquelles le SPPGD fait appel mais aussi les filières situées à proximité de la collectivité ;</w:t>
      </w:r>
    </w:p>
    <w:p w:rsidR="00B933AE" w:rsidRPr="009A5223" w:rsidRDefault="00B933AE" w:rsidP="00602672">
      <w:pPr>
        <w:pStyle w:val="Paragraphedeliste"/>
        <w:numPr>
          <w:ilvl w:val="0"/>
          <w:numId w:val="14"/>
        </w:numPr>
        <w:rPr>
          <w:rFonts w:asciiTheme="minorHAnsi" w:hAnsiTheme="minorHAnsi"/>
        </w:rPr>
      </w:pPr>
      <w:r w:rsidRPr="009A5223">
        <w:rPr>
          <w:rFonts w:asciiTheme="minorHAnsi" w:hAnsiTheme="minorHAnsi"/>
        </w:rPr>
        <w:t>le taux de recyclage</w:t>
      </w:r>
    </w:p>
    <w:p w:rsidR="00B933AE" w:rsidRPr="009A5223" w:rsidRDefault="00B933AE" w:rsidP="00602672">
      <w:pPr>
        <w:pStyle w:val="Paragraphedeliste"/>
        <w:numPr>
          <w:ilvl w:val="0"/>
          <w:numId w:val="14"/>
        </w:numPr>
        <w:rPr>
          <w:rFonts w:asciiTheme="minorHAnsi" w:hAnsiTheme="minorHAnsi"/>
        </w:rPr>
      </w:pPr>
      <w:r w:rsidRPr="009A5223">
        <w:rPr>
          <w:rFonts w:asciiTheme="minorHAnsi" w:hAnsiTheme="minorHAnsi"/>
        </w:rPr>
        <w:t>le taux de participation aux actions de compostage individuel et partagé (si possible, le tonnage détourné des OMR via ces actions de gestion de proximité des biodéchets).</w:t>
      </w:r>
    </w:p>
    <w:p w:rsidR="00B933AE" w:rsidRPr="009A5223" w:rsidRDefault="00B933AE" w:rsidP="007657AD">
      <w:pPr>
        <w:rPr>
          <w:rFonts w:asciiTheme="minorHAnsi" w:hAnsiTheme="minorHAnsi"/>
        </w:rPr>
      </w:pPr>
    </w:p>
    <w:p w:rsidR="00B933AE" w:rsidRPr="009A5223" w:rsidRDefault="00B933AE" w:rsidP="007657AD">
      <w:pPr>
        <w:rPr>
          <w:rFonts w:asciiTheme="minorHAnsi" w:hAnsiTheme="minorHAnsi"/>
        </w:rPr>
      </w:pPr>
      <w:r w:rsidRPr="009A5223">
        <w:rPr>
          <w:rFonts w:asciiTheme="minorHAnsi" w:hAnsiTheme="minorHAnsi"/>
        </w:rPr>
        <w:t>Le niveau de performance des collectes devra être comparé aux moyennes nationales / régionales constatées dans des territoires de même typologie mais aussi par rapport aux performances atteintes par des collectivités ayant mis en place une collecte séparée des biodéchets et/ou une tarification incitative</w:t>
      </w:r>
      <w:r w:rsidRPr="009A5223">
        <w:rPr>
          <w:rStyle w:val="Appelnotedebasdep"/>
          <w:rFonts w:asciiTheme="minorHAnsi" w:hAnsiTheme="minorHAnsi"/>
        </w:rPr>
        <w:footnoteReference w:id="1"/>
      </w:r>
      <w:r w:rsidRPr="009A5223">
        <w:rPr>
          <w:rFonts w:asciiTheme="minorHAnsi" w:hAnsiTheme="minorHAnsi"/>
        </w:rPr>
        <w:t>.</w:t>
      </w:r>
    </w:p>
    <w:p w:rsidR="00B933AE" w:rsidRPr="009A5223" w:rsidRDefault="00B933AE" w:rsidP="007657AD">
      <w:pPr>
        <w:rPr>
          <w:rFonts w:asciiTheme="minorHAnsi" w:hAnsiTheme="minorHAnsi"/>
        </w:rPr>
      </w:pPr>
    </w:p>
    <w:p w:rsidR="00B933AE" w:rsidRPr="009A5223" w:rsidRDefault="00B933AE" w:rsidP="00602672">
      <w:pPr>
        <w:pStyle w:val="Paragraphedeliste"/>
        <w:numPr>
          <w:ilvl w:val="0"/>
          <w:numId w:val="16"/>
        </w:numPr>
        <w:rPr>
          <w:rFonts w:asciiTheme="minorHAnsi" w:hAnsiTheme="minorHAnsi"/>
          <w:sz w:val="24"/>
        </w:rPr>
      </w:pPr>
      <w:r w:rsidRPr="009A5223">
        <w:rPr>
          <w:rFonts w:asciiTheme="minorHAnsi" w:hAnsiTheme="minorHAnsi"/>
          <w:sz w:val="24"/>
        </w:rPr>
        <w:t>Le service proposé aux usagers</w:t>
      </w:r>
    </w:p>
    <w:p w:rsidR="00B933AE" w:rsidRPr="009A5223" w:rsidRDefault="00B933AE" w:rsidP="00602672">
      <w:pPr>
        <w:pStyle w:val="Paragraphedeliste"/>
        <w:numPr>
          <w:ilvl w:val="0"/>
          <w:numId w:val="17"/>
        </w:numPr>
        <w:rPr>
          <w:rFonts w:asciiTheme="minorHAnsi" w:hAnsiTheme="minorHAnsi"/>
        </w:rPr>
      </w:pPr>
      <w:r w:rsidRPr="009A5223">
        <w:rPr>
          <w:rFonts w:asciiTheme="minorHAnsi" w:hAnsiTheme="minorHAnsi"/>
        </w:rPr>
        <w:t>les récipients utilisés : type, volume, quantités, âge du parc, possibilité d’intégrer des puces d’identification … ;</w:t>
      </w:r>
    </w:p>
    <w:p w:rsidR="00B933AE" w:rsidRPr="009A5223" w:rsidRDefault="00B933AE" w:rsidP="00602672">
      <w:pPr>
        <w:pStyle w:val="Paragraphedeliste"/>
        <w:numPr>
          <w:ilvl w:val="0"/>
          <w:numId w:val="17"/>
        </w:numPr>
        <w:rPr>
          <w:rFonts w:asciiTheme="minorHAnsi" w:hAnsiTheme="minorHAnsi"/>
        </w:rPr>
      </w:pPr>
      <w:r w:rsidRPr="009A5223">
        <w:rPr>
          <w:rFonts w:asciiTheme="minorHAnsi" w:hAnsiTheme="minorHAnsi"/>
        </w:rPr>
        <w:t>les consignes de tri (mise en place de l’extension des consignes de tri...) ;</w:t>
      </w:r>
    </w:p>
    <w:p w:rsidR="00B933AE" w:rsidRPr="009A5223" w:rsidRDefault="00B933AE" w:rsidP="00602672">
      <w:pPr>
        <w:pStyle w:val="Paragraphedeliste"/>
        <w:numPr>
          <w:ilvl w:val="0"/>
          <w:numId w:val="17"/>
        </w:numPr>
        <w:rPr>
          <w:rFonts w:asciiTheme="minorHAnsi" w:hAnsiTheme="minorHAnsi"/>
        </w:rPr>
      </w:pPr>
      <w:r w:rsidRPr="009A5223">
        <w:rPr>
          <w:rFonts w:asciiTheme="minorHAnsi" w:hAnsiTheme="minorHAnsi"/>
        </w:rPr>
        <w:t>les modalités de collecte : type, fréquence, quantités collectées par tournée … ;</w:t>
      </w:r>
    </w:p>
    <w:p w:rsidR="00B933AE" w:rsidRPr="009A5223" w:rsidRDefault="00B933AE" w:rsidP="00602672">
      <w:pPr>
        <w:pStyle w:val="Paragraphedeliste"/>
        <w:numPr>
          <w:ilvl w:val="0"/>
          <w:numId w:val="17"/>
        </w:numPr>
        <w:rPr>
          <w:rFonts w:asciiTheme="minorHAnsi" w:hAnsiTheme="minorHAnsi"/>
        </w:rPr>
      </w:pPr>
      <w:r w:rsidRPr="009A5223">
        <w:rPr>
          <w:rFonts w:asciiTheme="minorHAnsi" w:hAnsiTheme="minorHAnsi"/>
        </w:rPr>
        <w:t>les modalités de transfert et de transport : technique, quantités, destinations, kilomètres parcourus, âge du parc, possibilité d’intégrer des instruments d’identification et / ou de pesée, présence de dispositif d’hygiénisation (agréments sanitaires sous-produits animaux appropriés), coût ;</w:t>
      </w:r>
    </w:p>
    <w:p w:rsidR="00B933AE" w:rsidRPr="009A5223" w:rsidRDefault="00B933AE" w:rsidP="00602672">
      <w:pPr>
        <w:pStyle w:val="Paragraphedeliste"/>
        <w:numPr>
          <w:ilvl w:val="0"/>
          <w:numId w:val="17"/>
        </w:numPr>
        <w:rPr>
          <w:rFonts w:asciiTheme="minorHAnsi" w:hAnsiTheme="minorHAnsi"/>
        </w:rPr>
      </w:pPr>
      <w:r w:rsidRPr="009A5223">
        <w:rPr>
          <w:rFonts w:asciiTheme="minorHAnsi" w:hAnsiTheme="minorHAnsi"/>
        </w:rPr>
        <w:t>les modalités de valorisation : technique, quantités, capacité des installations à absorber des évolutions de flux ;</w:t>
      </w:r>
    </w:p>
    <w:p w:rsidR="00B933AE" w:rsidRPr="009A5223" w:rsidRDefault="00B933AE" w:rsidP="00602672">
      <w:pPr>
        <w:pStyle w:val="Paragraphedeliste"/>
        <w:numPr>
          <w:ilvl w:val="0"/>
          <w:numId w:val="17"/>
        </w:numPr>
        <w:rPr>
          <w:rFonts w:asciiTheme="minorHAnsi" w:hAnsiTheme="minorHAnsi"/>
        </w:rPr>
      </w:pPr>
      <w:r w:rsidRPr="009A5223">
        <w:rPr>
          <w:rFonts w:asciiTheme="minorHAnsi" w:hAnsiTheme="minorHAnsi"/>
        </w:rPr>
        <w:t>le cas échéant, les modalités de collecte des déchets des professionnels ;</w:t>
      </w:r>
    </w:p>
    <w:p w:rsidR="00B933AE" w:rsidRPr="009A5223" w:rsidRDefault="00B933AE" w:rsidP="007657AD">
      <w:pPr>
        <w:rPr>
          <w:rFonts w:asciiTheme="minorHAnsi" w:hAnsiTheme="minorHAnsi"/>
        </w:rPr>
      </w:pPr>
    </w:p>
    <w:p w:rsidR="00B933AE" w:rsidRPr="009A5223" w:rsidRDefault="00B933AE" w:rsidP="00602672">
      <w:pPr>
        <w:pStyle w:val="Paragraphedeliste"/>
        <w:numPr>
          <w:ilvl w:val="0"/>
          <w:numId w:val="17"/>
        </w:numPr>
        <w:rPr>
          <w:rFonts w:asciiTheme="minorHAnsi" w:hAnsiTheme="minorHAnsi"/>
        </w:rPr>
      </w:pPr>
      <w:r w:rsidRPr="009A5223">
        <w:rPr>
          <w:rFonts w:asciiTheme="minorHAnsi" w:hAnsiTheme="minorHAnsi"/>
        </w:rPr>
        <w:t>L’organisation de la collectivité</w:t>
      </w:r>
    </w:p>
    <w:p w:rsidR="00B933AE" w:rsidRPr="009A5223" w:rsidRDefault="00B933AE" w:rsidP="00602672">
      <w:pPr>
        <w:pStyle w:val="Paragraphedeliste"/>
        <w:numPr>
          <w:ilvl w:val="0"/>
          <w:numId w:val="18"/>
        </w:numPr>
        <w:rPr>
          <w:rFonts w:asciiTheme="minorHAnsi" w:hAnsiTheme="minorHAnsi"/>
        </w:rPr>
      </w:pPr>
      <w:r w:rsidRPr="009A5223">
        <w:rPr>
          <w:rFonts w:asciiTheme="minorHAnsi" w:hAnsiTheme="minorHAnsi"/>
        </w:rPr>
        <w:t>les moyens humains et matériels dont dispose la collectivité ;</w:t>
      </w:r>
    </w:p>
    <w:p w:rsidR="00B933AE" w:rsidRPr="009A5223" w:rsidRDefault="00B933AE" w:rsidP="00602672">
      <w:pPr>
        <w:pStyle w:val="Paragraphedeliste"/>
        <w:numPr>
          <w:ilvl w:val="0"/>
          <w:numId w:val="18"/>
        </w:numPr>
        <w:rPr>
          <w:rFonts w:asciiTheme="minorHAnsi" w:hAnsiTheme="minorHAnsi"/>
        </w:rPr>
      </w:pPr>
      <w:r w:rsidRPr="009A5223">
        <w:rPr>
          <w:rFonts w:asciiTheme="minorHAnsi" w:hAnsiTheme="minorHAnsi"/>
        </w:rPr>
        <w:lastRenderedPageBreak/>
        <w:t>si le cas se présente, les contraintes liées aux marchés de prestations de service en cours (échéances des contrats, clauses permettant l’expérimentation...).</w:t>
      </w:r>
    </w:p>
    <w:p w:rsidR="00B933AE" w:rsidRPr="009A5223" w:rsidRDefault="00B933AE" w:rsidP="007657AD">
      <w:pPr>
        <w:rPr>
          <w:rFonts w:asciiTheme="minorHAnsi" w:hAnsiTheme="minorHAnsi"/>
        </w:rPr>
      </w:pPr>
    </w:p>
    <w:p w:rsidR="00B933AE" w:rsidRPr="009A5223" w:rsidRDefault="00B933AE" w:rsidP="00602672">
      <w:pPr>
        <w:pStyle w:val="Paragraphedeliste"/>
        <w:numPr>
          <w:ilvl w:val="0"/>
          <w:numId w:val="18"/>
        </w:numPr>
        <w:rPr>
          <w:rFonts w:asciiTheme="minorHAnsi" w:hAnsiTheme="minorHAnsi"/>
        </w:rPr>
      </w:pPr>
      <w:r w:rsidRPr="009A5223">
        <w:rPr>
          <w:rFonts w:asciiTheme="minorHAnsi" w:hAnsiTheme="minorHAnsi"/>
        </w:rPr>
        <w:t>Si besoin est, identification des études qui resteraient à mener (par exemple : caractérisation locale du gisement)</w:t>
      </w:r>
    </w:p>
    <w:p w:rsidR="00B933AE" w:rsidRPr="009A5223" w:rsidRDefault="00B933AE" w:rsidP="007657AD">
      <w:pPr>
        <w:pStyle w:val="Titre3"/>
        <w:rPr>
          <w:rFonts w:asciiTheme="minorHAnsi" w:hAnsiTheme="minorHAnsi"/>
        </w:rPr>
      </w:pPr>
      <w:bookmarkStart w:id="8" w:name="_Toc507407593"/>
      <w:r w:rsidRPr="009A5223">
        <w:rPr>
          <w:rFonts w:asciiTheme="minorHAnsi" w:hAnsiTheme="minorHAnsi"/>
        </w:rPr>
        <w:t>Analyse du territoire</w:t>
      </w:r>
      <w:bookmarkEnd w:id="8"/>
    </w:p>
    <w:p w:rsidR="00B933AE" w:rsidRPr="009A5223" w:rsidRDefault="00B933AE" w:rsidP="007657AD">
      <w:pPr>
        <w:rPr>
          <w:rFonts w:asciiTheme="minorHAnsi" w:hAnsiTheme="minorHAnsi"/>
        </w:rPr>
      </w:pPr>
      <w:r w:rsidRPr="009A5223">
        <w:rPr>
          <w:rFonts w:asciiTheme="minorHAnsi" w:hAnsiTheme="minorHAnsi"/>
        </w:rPr>
        <w:t>Il s’agira de qualifier le territoire (le cas échéant par zone) en fonction du type d’habitat et de la présence d’espaces verts (jardin individuel, espaces verts publics) :</w:t>
      </w:r>
    </w:p>
    <w:p w:rsidR="00B933AE" w:rsidRPr="009A5223" w:rsidRDefault="00B933AE" w:rsidP="00602672">
      <w:pPr>
        <w:pStyle w:val="Paragraphedeliste"/>
        <w:numPr>
          <w:ilvl w:val="0"/>
          <w:numId w:val="7"/>
        </w:numPr>
        <w:rPr>
          <w:rFonts w:asciiTheme="minorHAnsi" w:hAnsiTheme="minorHAnsi"/>
        </w:rPr>
      </w:pPr>
      <w:r w:rsidRPr="009A5223">
        <w:rPr>
          <w:rFonts w:asciiTheme="minorHAnsi" w:hAnsiTheme="minorHAnsi"/>
        </w:rPr>
        <w:t xml:space="preserve">le(s) centre(s) historique(s) dense(s) ; </w:t>
      </w:r>
    </w:p>
    <w:p w:rsidR="00B933AE" w:rsidRPr="009A5223" w:rsidRDefault="00B933AE" w:rsidP="00602672">
      <w:pPr>
        <w:pStyle w:val="Paragraphedeliste"/>
        <w:numPr>
          <w:ilvl w:val="0"/>
          <w:numId w:val="7"/>
        </w:numPr>
        <w:rPr>
          <w:rFonts w:asciiTheme="minorHAnsi" w:hAnsiTheme="minorHAnsi"/>
        </w:rPr>
      </w:pPr>
      <w:r w:rsidRPr="009A5223">
        <w:rPr>
          <w:rFonts w:asciiTheme="minorHAnsi" w:hAnsiTheme="minorHAnsi"/>
        </w:rPr>
        <w:t>les secteurs en habitat vertical dense ;</w:t>
      </w:r>
    </w:p>
    <w:p w:rsidR="00B933AE" w:rsidRPr="009A5223" w:rsidRDefault="00B933AE" w:rsidP="00602672">
      <w:pPr>
        <w:pStyle w:val="Paragraphedeliste"/>
        <w:numPr>
          <w:ilvl w:val="0"/>
          <w:numId w:val="7"/>
        </w:numPr>
        <w:rPr>
          <w:rFonts w:asciiTheme="minorHAnsi" w:hAnsiTheme="minorHAnsi"/>
        </w:rPr>
      </w:pPr>
      <w:r w:rsidRPr="009A5223">
        <w:rPr>
          <w:rFonts w:asciiTheme="minorHAnsi" w:hAnsiTheme="minorHAnsi"/>
        </w:rPr>
        <w:t>l’habitat en « petits collectifs » ;</w:t>
      </w:r>
    </w:p>
    <w:p w:rsidR="00B933AE" w:rsidRPr="009A5223" w:rsidRDefault="00B933AE" w:rsidP="00602672">
      <w:pPr>
        <w:pStyle w:val="Paragraphedeliste"/>
        <w:numPr>
          <w:ilvl w:val="0"/>
          <w:numId w:val="7"/>
        </w:numPr>
        <w:rPr>
          <w:rFonts w:asciiTheme="minorHAnsi" w:hAnsiTheme="minorHAnsi"/>
        </w:rPr>
      </w:pPr>
      <w:r w:rsidRPr="009A5223">
        <w:rPr>
          <w:rFonts w:asciiTheme="minorHAnsi" w:hAnsiTheme="minorHAnsi"/>
        </w:rPr>
        <w:t>les zones pavillonnaires ;</w:t>
      </w:r>
    </w:p>
    <w:p w:rsidR="00B933AE" w:rsidRPr="009A5223" w:rsidRDefault="00B933AE" w:rsidP="00602672">
      <w:pPr>
        <w:pStyle w:val="Paragraphedeliste"/>
        <w:numPr>
          <w:ilvl w:val="0"/>
          <w:numId w:val="7"/>
        </w:numPr>
        <w:rPr>
          <w:rFonts w:asciiTheme="minorHAnsi" w:hAnsiTheme="minorHAnsi"/>
        </w:rPr>
      </w:pPr>
      <w:r w:rsidRPr="009A5223">
        <w:rPr>
          <w:rFonts w:asciiTheme="minorHAnsi" w:hAnsiTheme="minorHAnsi"/>
        </w:rPr>
        <w:t>l’habitat dispersé en zone rurale ;</w:t>
      </w:r>
    </w:p>
    <w:p w:rsidR="00B933AE" w:rsidRPr="009A5223" w:rsidRDefault="00B933AE" w:rsidP="00602672">
      <w:pPr>
        <w:pStyle w:val="Paragraphedeliste"/>
        <w:numPr>
          <w:ilvl w:val="0"/>
          <w:numId w:val="7"/>
        </w:numPr>
        <w:rPr>
          <w:rFonts w:asciiTheme="minorHAnsi" w:hAnsiTheme="minorHAnsi"/>
        </w:rPr>
      </w:pPr>
      <w:r w:rsidRPr="009A5223">
        <w:rPr>
          <w:rFonts w:asciiTheme="minorHAnsi" w:hAnsiTheme="minorHAnsi"/>
        </w:rPr>
        <w:t>autres types d’habitats impactant sur la réalisation du service ;</w:t>
      </w:r>
    </w:p>
    <w:p w:rsidR="00B933AE" w:rsidRPr="009A5223" w:rsidRDefault="00B933AE" w:rsidP="00602672">
      <w:pPr>
        <w:pStyle w:val="Paragraphedeliste"/>
        <w:numPr>
          <w:ilvl w:val="0"/>
          <w:numId w:val="7"/>
        </w:numPr>
        <w:rPr>
          <w:rFonts w:asciiTheme="minorHAnsi" w:hAnsiTheme="minorHAnsi"/>
        </w:rPr>
      </w:pPr>
      <w:r w:rsidRPr="009A5223">
        <w:rPr>
          <w:rFonts w:asciiTheme="minorHAnsi" w:hAnsiTheme="minorHAnsi"/>
        </w:rPr>
        <w:t>…</w:t>
      </w:r>
    </w:p>
    <w:p w:rsidR="00B933AE" w:rsidRPr="009A5223" w:rsidRDefault="00B933AE" w:rsidP="007657AD">
      <w:pPr>
        <w:rPr>
          <w:rFonts w:asciiTheme="minorHAnsi" w:hAnsiTheme="minorHAnsi"/>
        </w:rPr>
      </w:pPr>
      <w:r w:rsidRPr="009A5223">
        <w:rPr>
          <w:rFonts w:asciiTheme="minorHAnsi" w:hAnsiTheme="minorHAnsi"/>
        </w:rPr>
        <w:t>L’étude pourra proposer des modalités de gestion des biodéchets adaptés aux spécificités de chacune de ces zones.</w:t>
      </w:r>
    </w:p>
    <w:p w:rsidR="00B933AE" w:rsidRPr="009A5223" w:rsidRDefault="00B933AE" w:rsidP="007657AD">
      <w:pPr>
        <w:rPr>
          <w:rFonts w:asciiTheme="minorHAnsi" w:hAnsiTheme="minorHAnsi"/>
        </w:rPr>
      </w:pPr>
    </w:p>
    <w:p w:rsidR="00B933AE" w:rsidRPr="009A5223" w:rsidRDefault="00B933AE" w:rsidP="007657AD">
      <w:pPr>
        <w:rPr>
          <w:rFonts w:asciiTheme="minorHAnsi" w:hAnsiTheme="minorHAnsi"/>
        </w:rPr>
      </w:pPr>
      <w:r w:rsidRPr="009A5223">
        <w:rPr>
          <w:rFonts w:asciiTheme="minorHAnsi" w:hAnsiTheme="minorHAnsi"/>
        </w:rPr>
        <w:t>Les différentes catégories d’usagers potentiellement producteurs de biodéchets seront répertoriées :</w:t>
      </w:r>
    </w:p>
    <w:p w:rsidR="00B933AE" w:rsidRPr="009A5223" w:rsidRDefault="00B933AE" w:rsidP="00602672">
      <w:pPr>
        <w:pStyle w:val="Paragraphedeliste"/>
        <w:numPr>
          <w:ilvl w:val="0"/>
          <w:numId w:val="7"/>
        </w:numPr>
        <w:rPr>
          <w:rFonts w:asciiTheme="minorHAnsi" w:hAnsiTheme="minorHAnsi"/>
        </w:rPr>
      </w:pPr>
      <w:r w:rsidRPr="009A5223">
        <w:rPr>
          <w:rFonts w:asciiTheme="minorHAnsi" w:hAnsiTheme="minorHAnsi"/>
        </w:rPr>
        <w:t>les particuliers ;</w:t>
      </w:r>
    </w:p>
    <w:p w:rsidR="00B933AE" w:rsidRPr="009A5223" w:rsidRDefault="00B933AE" w:rsidP="00602672">
      <w:pPr>
        <w:pStyle w:val="Paragraphedeliste"/>
        <w:numPr>
          <w:ilvl w:val="0"/>
          <w:numId w:val="7"/>
        </w:numPr>
        <w:rPr>
          <w:rFonts w:asciiTheme="minorHAnsi" w:hAnsiTheme="minorHAnsi"/>
        </w:rPr>
      </w:pPr>
      <w:r w:rsidRPr="009A5223">
        <w:rPr>
          <w:rFonts w:asciiTheme="minorHAnsi" w:hAnsiTheme="minorHAnsi"/>
        </w:rPr>
        <w:t>les métiers de bouche</w:t>
      </w:r>
    </w:p>
    <w:p w:rsidR="00B933AE" w:rsidRPr="009A5223" w:rsidRDefault="00B933AE" w:rsidP="00602672">
      <w:pPr>
        <w:pStyle w:val="Paragraphedeliste"/>
        <w:numPr>
          <w:ilvl w:val="0"/>
          <w:numId w:val="7"/>
        </w:numPr>
        <w:rPr>
          <w:rFonts w:asciiTheme="minorHAnsi" w:hAnsiTheme="minorHAnsi"/>
        </w:rPr>
      </w:pPr>
      <w:r w:rsidRPr="009A5223">
        <w:rPr>
          <w:rFonts w:asciiTheme="minorHAnsi" w:hAnsiTheme="minorHAnsi"/>
        </w:rPr>
        <w:t>les professionnels producteurs de déchets assimilés aux ordures ménagères (artisans, commerçants, professions libérales …) ;</w:t>
      </w:r>
    </w:p>
    <w:p w:rsidR="00B933AE" w:rsidRPr="009A5223" w:rsidRDefault="00B933AE" w:rsidP="00602672">
      <w:pPr>
        <w:pStyle w:val="Paragraphedeliste"/>
        <w:numPr>
          <w:ilvl w:val="0"/>
          <w:numId w:val="7"/>
        </w:numPr>
        <w:rPr>
          <w:rFonts w:asciiTheme="minorHAnsi" w:hAnsiTheme="minorHAnsi"/>
        </w:rPr>
      </w:pPr>
      <w:r w:rsidRPr="009A5223">
        <w:rPr>
          <w:rFonts w:asciiTheme="minorHAnsi" w:hAnsiTheme="minorHAnsi"/>
        </w:rPr>
        <w:t>les producteurs de déchets professionnels (non assimilés) ;</w:t>
      </w:r>
    </w:p>
    <w:p w:rsidR="00B933AE" w:rsidRPr="009A5223" w:rsidRDefault="00B933AE" w:rsidP="00602672">
      <w:pPr>
        <w:pStyle w:val="Paragraphedeliste"/>
        <w:numPr>
          <w:ilvl w:val="0"/>
          <w:numId w:val="7"/>
        </w:numPr>
        <w:rPr>
          <w:rFonts w:asciiTheme="minorHAnsi" w:hAnsiTheme="minorHAnsi"/>
        </w:rPr>
      </w:pPr>
      <w:r w:rsidRPr="009A5223">
        <w:rPr>
          <w:rFonts w:asciiTheme="minorHAnsi" w:hAnsiTheme="minorHAnsi"/>
        </w:rPr>
        <w:t>les administrations et équivalents (crèches, cantines scolaires…) ;</w:t>
      </w:r>
    </w:p>
    <w:p w:rsidR="00B933AE" w:rsidRPr="009A5223" w:rsidRDefault="00B933AE" w:rsidP="00602672">
      <w:pPr>
        <w:pStyle w:val="Paragraphedeliste"/>
        <w:numPr>
          <w:ilvl w:val="0"/>
          <w:numId w:val="7"/>
        </w:numPr>
        <w:rPr>
          <w:rFonts w:asciiTheme="minorHAnsi" w:hAnsiTheme="minorHAnsi"/>
        </w:rPr>
      </w:pPr>
      <w:r w:rsidRPr="009A5223">
        <w:rPr>
          <w:rFonts w:asciiTheme="minorHAnsi" w:hAnsiTheme="minorHAnsi"/>
        </w:rPr>
        <w:t>les campings…</w:t>
      </w:r>
    </w:p>
    <w:p w:rsidR="00A035F3" w:rsidRPr="009A5223" w:rsidRDefault="00A035F3" w:rsidP="007657AD">
      <w:pPr>
        <w:rPr>
          <w:rFonts w:asciiTheme="minorHAnsi" w:hAnsiTheme="minorHAnsi"/>
        </w:rPr>
      </w:pPr>
    </w:p>
    <w:p w:rsidR="00B933AE" w:rsidRPr="009A5223" w:rsidRDefault="00B933AE" w:rsidP="007657AD">
      <w:pPr>
        <w:rPr>
          <w:rFonts w:asciiTheme="minorHAnsi" w:hAnsiTheme="minorHAnsi"/>
        </w:rPr>
      </w:pPr>
      <w:r w:rsidRPr="009A5223">
        <w:rPr>
          <w:rFonts w:asciiTheme="minorHAnsi" w:hAnsiTheme="minorHAnsi"/>
        </w:rPr>
        <w:t>Les informations relatives aux professionnels du territoire, producteurs de biodéchets, pourront permettre à la collectivité, d’amorcer une démarche de concertation avec ces derniers dans le but de leur proposer un service de collecte adapté à leurs besoins.</w:t>
      </w:r>
    </w:p>
    <w:p w:rsidR="00B933AE" w:rsidRPr="009A5223" w:rsidRDefault="00B933AE" w:rsidP="007657AD">
      <w:pPr>
        <w:rPr>
          <w:rFonts w:asciiTheme="minorHAnsi" w:hAnsiTheme="minorHAnsi"/>
        </w:rPr>
      </w:pPr>
      <w:r w:rsidRPr="009A5223">
        <w:rPr>
          <w:rFonts w:asciiTheme="minorHAnsi" w:hAnsiTheme="minorHAnsi"/>
        </w:rPr>
        <w:t>La collectivité veillera néanmoins au préalable à vérifier qu’aucun professionnel de la gestion des déchets ne souhaite se positionner sur un service de collecte des biodéchets dédié aux professionnels. Et ce, afin de ne pas dépasser le cadre de ses compétences et de n’intervenir qu’en cas de carence de l’initiative privée (cf CGCT).</w:t>
      </w:r>
    </w:p>
    <w:p w:rsidR="00B933AE" w:rsidRDefault="00B933AE" w:rsidP="007657AD"/>
    <w:p w:rsidR="00B933AE" w:rsidRDefault="00B933AE" w:rsidP="007657AD">
      <w:r>
        <w:t>En outre, l’étude devra permettre d’identifier les exutoires possibles pour le compost produit ainsi que les besoins des potentiels utilisateurs de ce compost tant en termes de quantité que de qualité.</w:t>
      </w:r>
    </w:p>
    <w:p w:rsidR="00B933AE" w:rsidRPr="00502380" w:rsidRDefault="00B933AE" w:rsidP="007657AD"/>
    <w:p w:rsidR="00B933AE" w:rsidRPr="00E049B2" w:rsidRDefault="00B933AE" w:rsidP="007657AD">
      <w:pPr>
        <w:pStyle w:val="Titre3"/>
      </w:pPr>
      <w:bookmarkStart w:id="9" w:name="_Toc507407594"/>
      <w:r w:rsidRPr="00E049B2">
        <w:t>Analyse financière du service</w:t>
      </w:r>
      <w:bookmarkEnd w:id="9"/>
    </w:p>
    <w:p w:rsidR="00B933AE" w:rsidRPr="009A5223" w:rsidRDefault="00B933AE" w:rsidP="007657AD">
      <w:pPr>
        <w:rPr>
          <w:rFonts w:asciiTheme="minorHAnsi" w:hAnsiTheme="minorHAnsi"/>
        </w:rPr>
      </w:pPr>
      <w:r w:rsidRPr="009A5223">
        <w:rPr>
          <w:rFonts w:asciiTheme="minorHAnsi" w:hAnsiTheme="minorHAnsi"/>
        </w:rPr>
        <w:t>Au préalable il s’agira de présenter le mode de financement du SPPGD et les modalités de facturation des pros.</w:t>
      </w:r>
    </w:p>
    <w:p w:rsidR="00B933AE" w:rsidRPr="009A5223" w:rsidRDefault="00B933AE" w:rsidP="007657AD">
      <w:pPr>
        <w:rPr>
          <w:rFonts w:asciiTheme="minorHAnsi" w:hAnsiTheme="minorHAnsi"/>
          <w:highlight w:val="yellow"/>
        </w:rPr>
      </w:pPr>
    </w:p>
    <w:p w:rsidR="00B933AE" w:rsidRPr="009A5223" w:rsidRDefault="00B933AE" w:rsidP="007657AD">
      <w:pPr>
        <w:rPr>
          <w:rFonts w:asciiTheme="minorHAnsi" w:hAnsiTheme="minorHAnsi"/>
        </w:rPr>
      </w:pPr>
      <w:r w:rsidRPr="009A5223">
        <w:rPr>
          <w:rFonts w:asciiTheme="minorHAnsi" w:hAnsiTheme="minorHAnsi"/>
        </w:rPr>
        <w:lastRenderedPageBreak/>
        <w:t>L’instauration d’une collecte séparée des biodéchets étant potentiellement génératrice de coûts supplémentaires, il est essentiel de connaître finement les coûts du SPPGD afin d’identifier les postes de charges principaux et donc d’agir sur ces derniers pour instaurer une collecte séparée des biodéchets en limitant l’augmentation globale voire en maintenant un coût constant. Les recettes éventuelles générées par la vente du compost produit seront également estimées.</w:t>
      </w:r>
    </w:p>
    <w:p w:rsidR="00B933AE" w:rsidRPr="009A5223" w:rsidRDefault="00B933AE" w:rsidP="007657AD">
      <w:pPr>
        <w:rPr>
          <w:rFonts w:asciiTheme="minorHAnsi" w:hAnsiTheme="minorHAnsi"/>
        </w:rPr>
      </w:pPr>
    </w:p>
    <w:p w:rsidR="00B933AE" w:rsidRPr="009A5223" w:rsidRDefault="00B933AE" w:rsidP="007657AD">
      <w:pPr>
        <w:rPr>
          <w:rFonts w:asciiTheme="minorHAnsi" w:hAnsiTheme="minorHAnsi"/>
        </w:rPr>
      </w:pPr>
      <w:r w:rsidRPr="009A5223">
        <w:rPr>
          <w:rFonts w:asciiTheme="minorHAnsi" w:hAnsiTheme="minorHAnsi"/>
        </w:rPr>
        <w:t>Idéalement, l’analyse des coûts s’appuiera sur les matrices des coûts renseignées sur SINOE</w:t>
      </w:r>
      <w:r w:rsidRPr="009A5223">
        <w:rPr>
          <w:rFonts w:asciiTheme="minorHAnsi" w:hAnsiTheme="minorHAnsi" w:cs="Arial"/>
        </w:rPr>
        <w:t>®</w:t>
      </w:r>
      <w:r w:rsidRPr="009A5223">
        <w:rPr>
          <w:rFonts w:asciiTheme="minorHAnsi" w:hAnsiTheme="minorHAnsi"/>
        </w:rPr>
        <w:t xml:space="preserve"> Déchets par la collectivité.  L’analyse financière devra permettre d’identifier :</w:t>
      </w:r>
    </w:p>
    <w:p w:rsidR="00B933AE" w:rsidRPr="009A5223" w:rsidRDefault="00B933AE" w:rsidP="00602672">
      <w:pPr>
        <w:pStyle w:val="Paragraphedeliste"/>
        <w:numPr>
          <w:ilvl w:val="0"/>
          <w:numId w:val="19"/>
        </w:numPr>
        <w:rPr>
          <w:rFonts w:asciiTheme="minorHAnsi" w:hAnsiTheme="minorHAnsi"/>
        </w:rPr>
      </w:pPr>
      <w:r w:rsidRPr="009A5223">
        <w:rPr>
          <w:rFonts w:asciiTheme="minorHAnsi" w:hAnsiTheme="minorHAnsi"/>
        </w:rPr>
        <w:t>les coûts fixes et les coûts variables du SPPGD</w:t>
      </w:r>
    </w:p>
    <w:p w:rsidR="00B933AE" w:rsidRPr="009A5223" w:rsidRDefault="00B933AE" w:rsidP="00602672">
      <w:pPr>
        <w:pStyle w:val="Paragraphedeliste"/>
        <w:numPr>
          <w:ilvl w:val="0"/>
          <w:numId w:val="19"/>
        </w:numPr>
        <w:rPr>
          <w:rFonts w:asciiTheme="minorHAnsi" w:hAnsiTheme="minorHAnsi"/>
        </w:rPr>
      </w:pPr>
      <w:r w:rsidRPr="009A5223">
        <w:rPr>
          <w:rFonts w:asciiTheme="minorHAnsi" w:hAnsiTheme="minorHAnsi"/>
        </w:rPr>
        <w:t>les postes de charges principaux</w:t>
      </w:r>
    </w:p>
    <w:p w:rsidR="00B933AE" w:rsidRPr="009A5223" w:rsidRDefault="00B933AE" w:rsidP="00602672">
      <w:pPr>
        <w:pStyle w:val="Paragraphedeliste"/>
        <w:numPr>
          <w:ilvl w:val="0"/>
          <w:numId w:val="19"/>
        </w:numPr>
        <w:rPr>
          <w:rFonts w:asciiTheme="minorHAnsi" w:hAnsiTheme="minorHAnsi"/>
        </w:rPr>
      </w:pPr>
      <w:r w:rsidRPr="009A5223">
        <w:rPr>
          <w:rFonts w:asciiTheme="minorHAnsi" w:hAnsiTheme="minorHAnsi"/>
        </w:rPr>
        <w:t>le coût des différents flux de déchets</w:t>
      </w:r>
    </w:p>
    <w:p w:rsidR="00B933AE" w:rsidRPr="009A5223" w:rsidRDefault="00B933AE" w:rsidP="00602672">
      <w:pPr>
        <w:pStyle w:val="Paragraphedeliste"/>
        <w:numPr>
          <w:ilvl w:val="0"/>
          <w:numId w:val="19"/>
        </w:numPr>
        <w:rPr>
          <w:rFonts w:asciiTheme="minorHAnsi" w:hAnsiTheme="minorHAnsi"/>
        </w:rPr>
      </w:pPr>
      <w:r w:rsidRPr="009A5223">
        <w:rPr>
          <w:rFonts w:asciiTheme="minorHAnsi" w:hAnsiTheme="minorHAnsi"/>
        </w:rPr>
        <w:t>le positionnement des coûts de la collectivité vis-à-vis des moyennes nationales</w:t>
      </w:r>
    </w:p>
    <w:p w:rsidR="00B933AE" w:rsidRPr="009A5223" w:rsidRDefault="00B933AE" w:rsidP="00602672">
      <w:pPr>
        <w:pStyle w:val="Paragraphedeliste"/>
        <w:numPr>
          <w:ilvl w:val="0"/>
          <w:numId w:val="19"/>
        </w:numPr>
        <w:rPr>
          <w:rFonts w:asciiTheme="minorHAnsi" w:hAnsiTheme="minorHAnsi"/>
        </w:rPr>
      </w:pPr>
      <w:r w:rsidRPr="009A5223">
        <w:rPr>
          <w:rFonts w:asciiTheme="minorHAnsi" w:hAnsiTheme="minorHAnsi"/>
        </w:rPr>
        <w:t>...</w:t>
      </w:r>
    </w:p>
    <w:p w:rsidR="00B933AE" w:rsidRPr="009A5223" w:rsidRDefault="00B933AE" w:rsidP="007657AD">
      <w:pPr>
        <w:rPr>
          <w:rFonts w:asciiTheme="minorHAnsi" w:hAnsiTheme="minorHAnsi"/>
        </w:rPr>
      </w:pPr>
      <w:r w:rsidRPr="009A5223">
        <w:rPr>
          <w:rFonts w:asciiTheme="minorHAnsi" w:hAnsiTheme="minorHAnsi"/>
        </w:rPr>
        <w:t>Le cas échéant, la facturation des professionnels utilisant le service public sera analysée à ce stade de l’étude et notamment la corrélation entre le coût réel du service et le montant facturé.</w:t>
      </w:r>
    </w:p>
    <w:p w:rsidR="00B933AE" w:rsidRPr="009A5223" w:rsidRDefault="00B933AE" w:rsidP="007657AD">
      <w:pPr>
        <w:rPr>
          <w:rFonts w:asciiTheme="minorHAnsi" w:hAnsiTheme="minorHAnsi"/>
        </w:rPr>
      </w:pPr>
      <w:r w:rsidRPr="009A5223">
        <w:rPr>
          <w:rFonts w:asciiTheme="minorHAnsi" w:hAnsiTheme="minorHAnsi"/>
        </w:rPr>
        <w:t>En sus, de manière à anticiper la hausse de la TGAP sur le stockage et l’incinération des déchets, le prestataire réalisera des simulations de coûts de traitement des déchets avec ou sans mise en place de dispositif de tri à la source des biodéchets ; partant du postulat que les dispositifs de tri à la source auront un impact sur les tonnages d’OMR collectés. Dès lors, les économies sur le traitement liées à la baisse des tonnages d’OMR collectés seront estimées sur la base de plusieurs scénarios tendanciels.</w:t>
      </w:r>
    </w:p>
    <w:p w:rsidR="00B933AE" w:rsidRPr="009A5223" w:rsidRDefault="00B933AE" w:rsidP="007657AD">
      <w:pPr>
        <w:rPr>
          <w:rFonts w:asciiTheme="minorHAnsi" w:hAnsiTheme="minorHAnsi"/>
        </w:rPr>
      </w:pPr>
    </w:p>
    <w:p w:rsidR="00B933AE" w:rsidRPr="009A5223" w:rsidRDefault="00B933AE" w:rsidP="007657AD">
      <w:pPr>
        <w:rPr>
          <w:rFonts w:asciiTheme="minorHAnsi" w:hAnsiTheme="minorHAnsi"/>
        </w:rPr>
      </w:pPr>
      <w:r w:rsidRPr="009A5223">
        <w:rPr>
          <w:rFonts w:asciiTheme="minorHAnsi" w:hAnsiTheme="minorHAnsi"/>
        </w:rPr>
        <w:t>En outre, si la collectivité est adhérente à un syndicat de traitement de déchets ; la réflexion est peut-être à mener à l’échelle de ce dernier dans le but de mutualiser les filières de traitement avales.</w:t>
      </w:r>
    </w:p>
    <w:p w:rsidR="00BF4FC1" w:rsidRPr="009A5223" w:rsidRDefault="00BF4FC1" w:rsidP="007657AD">
      <w:pPr>
        <w:rPr>
          <w:rFonts w:asciiTheme="minorHAnsi" w:hAnsiTheme="minorHAnsi"/>
        </w:rPr>
      </w:pPr>
    </w:p>
    <w:p w:rsidR="00F83FD0" w:rsidRPr="00F83FD0" w:rsidRDefault="00F83FD0" w:rsidP="007657AD">
      <w:pPr>
        <w:pStyle w:val="Titre2"/>
      </w:pPr>
      <w:bookmarkStart w:id="10" w:name="_Toc507407595"/>
      <w:r w:rsidRPr="00F83FD0">
        <w:t>Etape 2 : Les scénarii possibles</w:t>
      </w:r>
      <w:bookmarkEnd w:id="10"/>
    </w:p>
    <w:p w:rsidR="00BF4FC1" w:rsidRPr="009A5223" w:rsidRDefault="00BF4FC1" w:rsidP="007657AD">
      <w:pPr>
        <w:rPr>
          <w:rFonts w:asciiTheme="minorHAnsi" w:hAnsiTheme="minorHAnsi"/>
        </w:rPr>
      </w:pPr>
      <w:r w:rsidRPr="009A5223">
        <w:rPr>
          <w:rFonts w:asciiTheme="minorHAnsi" w:hAnsiTheme="minorHAnsi"/>
        </w:rPr>
        <w:t xml:space="preserve">Suite à l’étape 1, un ou plusieurs scénarii techniques seront étudiés permettant la mise en place d’un dispositif global de tri à la source des biodéchets sur le territoire, traduisant différentes organisations possibles et les impacts associés portant entre autres sur : </w:t>
      </w:r>
    </w:p>
    <w:p w:rsidR="00BF4FC1" w:rsidRPr="009A5223" w:rsidRDefault="00BF4FC1" w:rsidP="007657AD">
      <w:pPr>
        <w:rPr>
          <w:rFonts w:asciiTheme="minorHAnsi" w:hAnsiTheme="minorHAnsi"/>
        </w:rPr>
      </w:pPr>
    </w:p>
    <w:p w:rsidR="00BF4FC1" w:rsidRPr="009A5223" w:rsidRDefault="00BF4FC1" w:rsidP="00602672">
      <w:pPr>
        <w:pStyle w:val="Paragraphedeliste"/>
        <w:numPr>
          <w:ilvl w:val="0"/>
          <w:numId w:val="8"/>
        </w:numPr>
        <w:rPr>
          <w:rFonts w:asciiTheme="minorHAnsi" w:hAnsiTheme="minorHAnsi"/>
        </w:rPr>
      </w:pPr>
      <w:r w:rsidRPr="009A5223">
        <w:rPr>
          <w:rFonts w:asciiTheme="minorHAnsi" w:hAnsiTheme="minorHAnsi"/>
        </w:rPr>
        <w:t>les tonnages de déchets (en fonction des consignes de tri : collecte de déchets alimentaires seuls ou collecte d’un mélange déchets verts - déchets alimentaires) ;</w:t>
      </w:r>
    </w:p>
    <w:p w:rsidR="00BF4FC1" w:rsidRPr="009A5223" w:rsidRDefault="00BF4FC1" w:rsidP="00602672">
      <w:pPr>
        <w:pStyle w:val="Paragraphedeliste"/>
        <w:numPr>
          <w:ilvl w:val="0"/>
          <w:numId w:val="8"/>
        </w:numPr>
        <w:rPr>
          <w:rFonts w:asciiTheme="minorHAnsi" w:hAnsiTheme="minorHAnsi"/>
        </w:rPr>
      </w:pPr>
      <w:r w:rsidRPr="009A5223">
        <w:rPr>
          <w:rFonts w:asciiTheme="minorHAnsi" w:hAnsiTheme="minorHAnsi"/>
        </w:rPr>
        <w:t>la complémentarité des dispositifs de tri à la source des biodéchets</w:t>
      </w:r>
    </w:p>
    <w:p w:rsidR="00BF4FC1" w:rsidRPr="009A5223" w:rsidRDefault="00BF4FC1" w:rsidP="00602672">
      <w:pPr>
        <w:pStyle w:val="Paragraphedeliste"/>
        <w:numPr>
          <w:ilvl w:val="0"/>
          <w:numId w:val="8"/>
        </w:numPr>
        <w:rPr>
          <w:rFonts w:asciiTheme="minorHAnsi" w:hAnsiTheme="minorHAnsi"/>
        </w:rPr>
      </w:pPr>
      <w:r w:rsidRPr="009A5223">
        <w:rPr>
          <w:rFonts w:asciiTheme="minorHAnsi" w:hAnsiTheme="minorHAnsi"/>
        </w:rPr>
        <w:t xml:space="preserve">les évolutions du SPPGD : augmentation des effectifs, optimisation de la collecte ; </w:t>
      </w:r>
    </w:p>
    <w:p w:rsidR="00BF4FC1" w:rsidRPr="009A5223" w:rsidRDefault="00BF4FC1" w:rsidP="00602672">
      <w:pPr>
        <w:pStyle w:val="Paragraphedeliste"/>
        <w:numPr>
          <w:ilvl w:val="0"/>
          <w:numId w:val="8"/>
        </w:numPr>
        <w:rPr>
          <w:rFonts w:asciiTheme="minorHAnsi" w:hAnsiTheme="minorHAnsi"/>
        </w:rPr>
      </w:pPr>
      <w:r w:rsidRPr="009A5223">
        <w:rPr>
          <w:rFonts w:asciiTheme="minorHAnsi" w:hAnsiTheme="minorHAnsi"/>
        </w:rPr>
        <w:t>l’économie du SPPGD : coûts d’instauration, investissements, fonctionnement ;</w:t>
      </w:r>
    </w:p>
    <w:p w:rsidR="00BF4FC1" w:rsidRPr="009A5223" w:rsidRDefault="00BF4FC1" w:rsidP="00602672">
      <w:pPr>
        <w:pStyle w:val="Paragraphedeliste"/>
        <w:numPr>
          <w:ilvl w:val="0"/>
          <w:numId w:val="8"/>
        </w:numPr>
        <w:rPr>
          <w:rFonts w:asciiTheme="minorHAnsi" w:hAnsiTheme="minorHAnsi"/>
        </w:rPr>
      </w:pPr>
      <w:r w:rsidRPr="009A5223">
        <w:rPr>
          <w:rFonts w:asciiTheme="minorHAnsi" w:hAnsiTheme="minorHAnsi"/>
        </w:rPr>
        <w:t>…</w:t>
      </w:r>
    </w:p>
    <w:p w:rsidR="00BF4FC1" w:rsidRPr="009A5223" w:rsidRDefault="00BF4FC1" w:rsidP="007657AD">
      <w:pPr>
        <w:rPr>
          <w:rFonts w:asciiTheme="minorHAnsi" w:hAnsiTheme="minorHAnsi"/>
        </w:rPr>
      </w:pPr>
    </w:p>
    <w:p w:rsidR="00BF4FC1" w:rsidRPr="009A5223" w:rsidRDefault="00BF4FC1" w:rsidP="007657AD">
      <w:pPr>
        <w:rPr>
          <w:rFonts w:asciiTheme="minorHAnsi" w:hAnsiTheme="minorHAnsi"/>
        </w:rPr>
      </w:pPr>
      <w:r w:rsidRPr="009A5223">
        <w:rPr>
          <w:rFonts w:asciiTheme="minorHAnsi" w:hAnsiTheme="minorHAnsi"/>
        </w:rPr>
        <w:t>Avec la présentation de ces différents scénarii et de leurs impacts, la collectivité choisira le scénario répondant le mieux à ses objectifs. La faisabilité de l’option technique retenue sera approfondie en étape 3.</w:t>
      </w:r>
    </w:p>
    <w:p w:rsidR="00BF4FC1" w:rsidRPr="009A5223" w:rsidRDefault="00BF4FC1" w:rsidP="007657AD">
      <w:pPr>
        <w:rPr>
          <w:rFonts w:asciiTheme="minorHAnsi" w:hAnsiTheme="minorHAnsi"/>
        </w:rPr>
      </w:pPr>
    </w:p>
    <w:p w:rsidR="00BF4FC1" w:rsidRPr="009A5223" w:rsidRDefault="00BF4FC1" w:rsidP="007657AD">
      <w:pPr>
        <w:rPr>
          <w:rFonts w:asciiTheme="minorHAnsi" w:hAnsiTheme="minorHAnsi"/>
        </w:rPr>
      </w:pPr>
      <w:r w:rsidRPr="009A5223">
        <w:rPr>
          <w:rFonts w:asciiTheme="minorHAnsi" w:hAnsiTheme="minorHAnsi"/>
        </w:rPr>
        <w:t>Chaque scénario devra détailler a minima les éléments suivants :</w:t>
      </w:r>
    </w:p>
    <w:p w:rsidR="00BF4FC1" w:rsidRDefault="00BF4FC1" w:rsidP="007657AD">
      <w:pPr>
        <w:pStyle w:val="Titre3"/>
      </w:pPr>
      <w:bookmarkStart w:id="11" w:name="_Toc507407596"/>
      <w:r w:rsidRPr="007D0D5D">
        <w:lastRenderedPageBreak/>
        <w:t>Sur les aspects techniques</w:t>
      </w:r>
      <w:bookmarkEnd w:id="11"/>
    </w:p>
    <w:p w:rsidR="00BF4FC1" w:rsidRPr="009A5223" w:rsidRDefault="00BF4FC1" w:rsidP="007657AD">
      <w:pPr>
        <w:rPr>
          <w:rFonts w:asciiTheme="minorHAnsi" w:hAnsiTheme="minorHAnsi"/>
        </w:rPr>
      </w:pPr>
      <w:r w:rsidRPr="009A5223">
        <w:rPr>
          <w:rFonts w:asciiTheme="minorHAnsi" w:hAnsiTheme="minorHAnsi"/>
        </w:rPr>
        <w:t>En fonction des zones du territoire et des typologies d’usagers (ménages, professionnels), préciser :</w:t>
      </w:r>
    </w:p>
    <w:p w:rsidR="00BF4FC1" w:rsidRPr="009A5223" w:rsidRDefault="00BF4FC1" w:rsidP="00602672">
      <w:pPr>
        <w:pStyle w:val="Paragraphedeliste"/>
        <w:numPr>
          <w:ilvl w:val="0"/>
          <w:numId w:val="22"/>
        </w:numPr>
        <w:rPr>
          <w:rFonts w:asciiTheme="minorHAnsi" w:hAnsiTheme="minorHAnsi"/>
        </w:rPr>
      </w:pPr>
      <w:r w:rsidRPr="009A5223">
        <w:rPr>
          <w:rFonts w:asciiTheme="minorHAnsi" w:hAnsiTheme="minorHAnsi"/>
        </w:rPr>
        <w:t>les objectifs de réduction d’OMR, de ratio de biodéchets collectés, d’amélioration des collectes séparées de recyclables</w:t>
      </w:r>
    </w:p>
    <w:p w:rsidR="00BF4FC1" w:rsidRPr="009A5223" w:rsidRDefault="00BF4FC1" w:rsidP="00602672">
      <w:pPr>
        <w:pStyle w:val="Paragraphedeliste"/>
        <w:numPr>
          <w:ilvl w:val="0"/>
          <w:numId w:val="22"/>
        </w:numPr>
        <w:rPr>
          <w:rFonts w:asciiTheme="minorHAnsi" w:hAnsiTheme="minorHAnsi"/>
        </w:rPr>
      </w:pPr>
      <w:r w:rsidRPr="009A5223">
        <w:rPr>
          <w:rFonts w:asciiTheme="minorHAnsi" w:hAnsiTheme="minorHAnsi"/>
        </w:rPr>
        <w:t>la part du territoire couvert par une collecte séparée des biodéchets et celle couverte par une gestion de proximité</w:t>
      </w:r>
    </w:p>
    <w:p w:rsidR="00BF4FC1" w:rsidRPr="009A5223" w:rsidRDefault="00BF4FC1" w:rsidP="00602672">
      <w:pPr>
        <w:pStyle w:val="Paragraphedeliste"/>
        <w:numPr>
          <w:ilvl w:val="0"/>
          <w:numId w:val="22"/>
        </w:numPr>
        <w:rPr>
          <w:rFonts w:asciiTheme="minorHAnsi" w:hAnsiTheme="minorHAnsi"/>
        </w:rPr>
      </w:pPr>
      <w:r w:rsidRPr="009A5223">
        <w:rPr>
          <w:rFonts w:asciiTheme="minorHAnsi" w:hAnsiTheme="minorHAnsi"/>
        </w:rPr>
        <w:t>pour la collecte séparée des biodéchets, le mode de collecte envisagé : au porte à porte ou en apport volontaire. Si la collecte est prévue en points d’apport volontaire, des préconisations sur l’implantation de ces points sont également à fournir</w:t>
      </w:r>
    </w:p>
    <w:p w:rsidR="00BF4FC1" w:rsidRPr="009A5223" w:rsidRDefault="00BF4FC1" w:rsidP="00602672">
      <w:pPr>
        <w:pStyle w:val="Paragraphedeliste"/>
        <w:numPr>
          <w:ilvl w:val="0"/>
          <w:numId w:val="22"/>
        </w:numPr>
        <w:rPr>
          <w:rFonts w:asciiTheme="minorHAnsi" w:hAnsiTheme="minorHAnsi"/>
        </w:rPr>
      </w:pPr>
      <w:r w:rsidRPr="009A5223">
        <w:rPr>
          <w:rFonts w:asciiTheme="minorHAnsi" w:hAnsiTheme="minorHAnsi"/>
        </w:rPr>
        <w:t>l’organisation prévue pour la collecte et notamment les impacts sur les collectes existantes (réduction de fréquence, optimisation des tournées...)</w:t>
      </w:r>
    </w:p>
    <w:p w:rsidR="00BF4FC1" w:rsidRPr="009A5223" w:rsidRDefault="00BF4FC1" w:rsidP="00602672">
      <w:pPr>
        <w:pStyle w:val="Paragraphedeliste"/>
        <w:numPr>
          <w:ilvl w:val="0"/>
          <w:numId w:val="22"/>
        </w:numPr>
        <w:rPr>
          <w:rFonts w:asciiTheme="minorHAnsi" w:hAnsiTheme="minorHAnsi"/>
        </w:rPr>
      </w:pPr>
      <w:r w:rsidRPr="009A5223">
        <w:rPr>
          <w:rFonts w:asciiTheme="minorHAnsi" w:hAnsiTheme="minorHAnsi"/>
        </w:rPr>
        <w:t>les mesures d’accompagnement au changement prévues (actions de concertation</w:t>
      </w:r>
      <w:r w:rsidRPr="009A5223">
        <w:rPr>
          <w:rStyle w:val="Appelnotedebasdep"/>
          <w:rFonts w:asciiTheme="minorHAnsi" w:hAnsiTheme="minorHAnsi"/>
          <w:bCs/>
          <w:szCs w:val="24"/>
        </w:rPr>
        <w:footnoteReference w:id="2"/>
      </w:r>
      <w:r w:rsidRPr="009A5223">
        <w:rPr>
          <w:rFonts w:asciiTheme="minorHAnsi" w:hAnsiTheme="minorHAnsi"/>
        </w:rPr>
        <w:t xml:space="preserve"> et de communication)</w:t>
      </w:r>
    </w:p>
    <w:p w:rsidR="00BF4FC1" w:rsidRPr="009A5223" w:rsidRDefault="00BF4FC1" w:rsidP="00602672">
      <w:pPr>
        <w:pStyle w:val="Paragraphedeliste"/>
        <w:numPr>
          <w:ilvl w:val="0"/>
          <w:numId w:val="22"/>
        </w:numPr>
        <w:rPr>
          <w:rFonts w:asciiTheme="minorHAnsi" w:hAnsiTheme="minorHAnsi"/>
        </w:rPr>
      </w:pPr>
      <w:r w:rsidRPr="009A5223">
        <w:rPr>
          <w:rFonts w:asciiTheme="minorHAnsi" w:hAnsiTheme="minorHAnsi"/>
        </w:rPr>
        <w:t>les partenariats potentiels avec les associations locales pouvant constituer des relais de la collectivité et plus largement les acteurs internes et externes à la collectivité à mobiliser pour mener à bien le projet</w:t>
      </w:r>
    </w:p>
    <w:p w:rsidR="00BF4FC1" w:rsidRPr="009A5223" w:rsidRDefault="00BF4FC1" w:rsidP="00602672">
      <w:pPr>
        <w:pStyle w:val="Paragraphedeliste"/>
        <w:numPr>
          <w:ilvl w:val="0"/>
          <w:numId w:val="22"/>
        </w:numPr>
        <w:rPr>
          <w:rFonts w:asciiTheme="minorHAnsi" w:hAnsiTheme="minorHAnsi"/>
        </w:rPr>
      </w:pPr>
      <w:r w:rsidRPr="009A5223">
        <w:rPr>
          <w:rFonts w:asciiTheme="minorHAnsi" w:hAnsiTheme="minorHAnsi"/>
        </w:rPr>
        <w:t>les modalités de traitement des biodéchets.</w:t>
      </w:r>
    </w:p>
    <w:p w:rsidR="00BF4FC1" w:rsidRPr="009A5223" w:rsidRDefault="00BF4FC1" w:rsidP="007657AD">
      <w:pPr>
        <w:rPr>
          <w:rFonts w:asciiTheme="minorHAnsi" w:hAnsiTheme="minorHAnsi"/>
        </w:rPr>
      </w:pPr>
    </w:p>
    <w:p w:rsidR="00BF4FC1" w:rsidRPr="009A5223" w:rsidRDefault="00BF4FC1" w:rsidP="007657AD">
      <w:pPr>
        <w:rPr>
          <w:rFonts w:asciiTheme="minorHAnsi" w:hAnsiTheme="minorHAnsi"/>
        </w:rPr>
      </w:pPr>
      <w:r w:rsidRPr="009A5223">
        <w:rPr>
          <w:rFonts w:asciiTheme="minorHAnsi" w:hAnsiTheme="minorHAnsi"/>
        </w:rPr>
        <w:t>Les coûts d’investissement et/ou de fonctionnement générés sur chacun de ces aspects seront précisés, de même que les économies générées par l’optimisation du service.</w:t>
      </w:r>
    </w:p>
    <w:p w:rsidR="00BF4FC1" w:rsidRPr="009A5223" w:rsidRDefault="00BF4FC1" w:rsidP="007657AD">
      <w:pPr>
        <w:rPr>
          <w:rFonts w:asciiTheme="minorHAnsi" w:hAnsiTheme="minorHAnsi"/>
        </w:rPr>
      </w:pPr>
    </w:p>
    <w:p w:rsidR="00BF4FC1" w:rsidRPr="009A5223" w:rsidRDefault="00BF4FC1" w:rsidP="007657AD">
      <w:pPr>
        <w:rPr>
          <w:rFonts w:asciiTheme="minorHAnsi" w:hAnsiTheme="minorHAnsi"/>
        </w:rPr>
      </w:pPr>
      <w:r w:rsidRPr="009A5223">
        <w:rPr>
          <w:rFonts w:asciiTheme="minorHAnsi" w:hAnsiTheme="minorHAnsi"/>
        </w:rPr>
        <w:t>Les dispositifs techniques proposés devront respecter des conditions de sécurité et d’hygiène pour les usagers et les équipiers de collecte. A ce titre, les dispositifs proposés devront être conformes avec la recommandation R437 de la CNAMTS</w:t>
      </w:r>
      <w:r w:rsidRPr="009A5223">
        <w:rPr>
          <w:rStyle w:val="Appelnotedebasdep"/>
          <w:rFonts w:asciiTheme="minorHAnsi" w:hAnsiTheme="minorHAnsi"/>
          <w:i/>
        </w:rPr>
        <w:footnoteReference w:id="3"/>
      </w:r>
      <w:r w:rsidRPr="009A5223">
        <w:rPr>
          <w:rFonts w:asciiTheme="minorHAnsi" w:hAnsiTheme="minorHAnsi"/>
        </w:rPr>
        <w:t xml:space="preserve"> portant sur la collecte des déchets ménagers et assimilés. Les installations de traitement devront être en conformité avec la règlementation sur les ICPE</w:t>
      </w:r>
      <w:r w:rsidRPr="009A5223">
        <w:rPr>
          <w:rStyle w:val="Appelnotedebasdep"/>
          <w:rFonts w:asciiTheme="minorHAnsi" w:hAnsiTheme="minorHAnsi"/>
          <w:i/>
        </w:rPr>
        <w:footnoteReference w:id="4"/>
      </w:r>
      <w:r w:rsidRPr="009A5223">
        <w:rPr>
          <w:rFonts w:asciiTheme="minorHAnsi" w:hAnsiTheme="minorHAnsi"/>
        </w:rPr>
        <w:t xml:space="preserve"> et disposer des agréments sanitaires adéquats (portant notamment sur l’accueil de sous-produits animaux).</w:t>
      </w:r>
    </w:p>
    <w:p w:rsidR="00BF4FC1" w:rsidRPr="009A5223" w:rsidRDefault="00BF4FC1" w:rsidP="007657AD">
      <w:pPr>
        <w:rPr>
          <w:rFonts w:asciiTheme="minorHAnsi" w:hAnsiTheme="minorHAnsi"/>
        </w:rPr>
      </w:pPr>
    </w:p>
    <w:p w:rsidR="00BF4FC1" w:rsidRPr="009A5223" w:rsidRDefault="00BF4FC1" w:rsidP="007657AD">
      <w:pPr>
        <w:rPr>
          <w:rFonts w:asciiTheme="minorHAnsi" w:hAnsiTheme="minorHAnsi"/>
        </w:rPr>
      </w:pPr>
      <w:r w:rsidRPr="009A5223">
        <w:rPr>
          <w:rFonts w:asciiTheme="minorHAnsi" w:hAnsiTheme="minorHAnsi"/>
        </w:rPr>
        <w:t>Il s’agira également de s’interroger sur l’existence et la qualité d’une filière de traitement des biodéchets (comparaison des différentes filières à produire) et de proposer une solution performance de valorisation des biodéchets. Des débouchés pour le compost (ou le digestat) devront être identifiés.</w:t>
      </w:r>
    </w:p>
    <w:p w:rsidR="00BF4FC1" w:rsidRPr="009A5223" w:rsidRDefault="00BF4FC1" w:rsidP="007657AD">
      <w:pPr>
        <w:rPr>
          <w:rFonts w:asciiTheme="minorHAnsi" w:hAnsiTheme="minorHAnsi"/>
        </w:rPr>
      </w:pPr>
      <w:r w:rsidRPr="009A5223">
        <w:rPr>
          <w:rFonts w:asciiTheme="minorHAnsi" w:hAnsiTheme="minorHAnsi"/>
        </w:rPr>
        <w:t>Ainsi, sur les modalités de traitement des biodéchets, le prestataire devra a minima :</w:t>
      </w:r>
    </w:p>
    <w:p w:rsidR="00BF4FC1" w:rsidRPr="009A5223" w:rsidRDefault="00BF4FC1" w:rsidP="00602672">
      <w:pPr>
        <w:pStyle w:val="Paragraphedeliste"/>
        <w:numPr>
          <w:ilvl w:val="0"/>
          <w:numId w:val="23"/>
        </w:numPr>
        <w:rPr>
          <w:rFonts w:asciiTheme="minorHAnsi" w:hAnsiTheme="minorHAnsi"/>
        </w:rPr>
      </w:pPr>
      <w:r w:rsidRPr="009A5223">
        <w:rPr>
          <w:rFonts w:asciiTheme="minorHAnsi" w:hAnsiTheme="minorHAnsi"/>
        </w:rPr>
        <w:t>cartographier les sites existants (plateformes de compostage et unités de méthanisation) présents sur le territoire ou en zones limitrophes,</w:t>
      </w:r>
    </w:p>
    <w:p w:rsidR="00BF4FC1" w:rsidRPr="009A5223" w:rsidRDefault="00BF4FC1" w:rsidP="00602672">
      <w:pPr>
        <w:pStyle w:val="Paragraphedeliste"/>
        <w:numPr>
          <w:ilvl w:val="0"/>
          <w:numId w:val="23"/>
        </w:numPr>
        <w:rPr>
          <w:rFonts w:asciiTheme="minorHAnsi" w:hAnsiTheme="minorHAnsi"/>
        </w:rPr>
      </w:pPr>
      <w:r w:rsidRPr="009A5223">
        <w:rPr>
          <w:rFonts w:asciiTheme="minorHAnsi" w:hAnsiTheme="minorHAnsi"/>
        </w:rPr>
        <w:t>identifier les tonnages déjà traités par ces installations et les types de flux entrants traités,</w:t>
      </w:r>
    </w:p>
    <w:p w:rsidR="00BF4FC1" w:rsidRPr="009A5223" w:rsidRDefault="00BF4FC1" w:rsidP="00602672">
      <w:pPr>
        <w:pStyle w:val="Paragraphedeliste"/>
        <w:numPr>
          <w:ilvl w:val="0"/>
          <w:numId w:val="23"/>
        </w:numPr>
        <w:rPr>
          <w:rFonts w:asciiTheme="minorHAnsi" w:hAnsiTheme="minorHAnsi"/>
        </w:rPr>
      </w:pPr>
      <w:r w:rsidRPr="009A5223">
        <w:rPr>
          <w:rFonts w:asciiTheme="minorHAnsi" w:hAnsiTheme="minorHAnsi"/>
        </w:rPr>
        <w:t>déterminer les capacités supplémentaires d’accueil existantes (capacités résiduelles)</w:t>
      </w:r>
    </w:p>
    <w:p w:rsidR="00BF4FC1" w:rsidRPr="009A5223" w:rsidRDefault="00BF4FC1" w:rsidP="00602672">
      <w:pPr>
        <w:pStyle w:val="Paragraphedeliste"/>
        <w:numPr>
          <w:ilvl w:val="0"/>
          <w:numId w:val="23"/>
        </w:numPr>
        <w:rPr>
          <w:rFonts w:asciiTheme="minorHAnsi" w:hAnsiTheme="minorHAnsi"/>
        </w:rPr>
      </w:pPr>
      <w:r w:rsidRPr="009A5223">
        <w:rPr>
          <w:rFonts w:asciiTheme="minorHAnsi" w:hAnsiTheme="minorHAnsi"/>
        </w:rPr>
        <w:t>vérifier que les installations disposent des agréments sanitaires ad hoc</w:t>
      </w:r>
    </w:p>
    <w:p w:rsidR="00BF4FC1" w:rsidRPr="009A5223" w:rsidRDefault="00BF4FC1" w:rsidP="00602672">
      <w:pPr>
        <w:pStyle w:val="Paragraphedeliste"/>
        <w:numPr>
          <w:ilvl w:val="0"/>
          <w:numId w:val="23"/>
        </w:numPr>
        <w:rPr>
          <w:rFonts w:asciiTheme="minorHAnsi" w:hAnsiTheme="minorHAnsi"/>
        </w:rPr>
      </w:pPr>
      <w:r w:rsidRPr="009A5223">
        <w:rPr>
          <w:rFonts w:asciiTheme="minorHAnsi" w:hAnsiTheme="minorHAnsi"/>
        </w:rPr>
        <w:t>et identifier les coûts de traitement de chaque installation (exprimé en €/t).</w:t>
      </w:r>
    </w:p>
    <w:p w:rsidR="00BF4FC1" w:rsidRPr="009A5223" w:rsidRDefault="00BF4FC1" w:rsidP="007657AD">
      <w:pPr>
        <w:rPr>
          <w:rFonts w:asciiTheme="minorHAnsi" w:hAnsiTheme="minorHAnsi"/>
        </w:rPr>
      </w:pPr>
    </w:p>
    <w:p w:rsidR="00BF4FC1" w:rsidRPr="009A5223" w:rsidRDefault="00BF4FC1" w:rsidP="007657AD">
      <w:pPr>
        <w:pStyle w:val="Titre3"/>
        <w:rPr>
          <w:rFonts w:asciiTheme="minorHAnsi" w:hAnsiTheme="minorHAnsi"/>
        </w:rPr>
      </w:pPr>
      <w:bookmarkStart w:id="12" w:name="_Toc507407597"/>
      <w:r w:rsidRPr="009A5223">
        <w:rPr>
          <w:rFonts w:asciiTheme="minorHAnsi" w:hAnsiTheme="minorHAnsi"/>
        </w:rPr>
        <w:lastRenderedPageBreak/>
        <w:t>Sur les moyens humains et matériels</w:t>
      </w:r>
      <w:bookmarkEnd w:id="12"/>
    </w:p>
    <w:p w:rsidR="00BF4FC1" w:rsidRPr="009A5223" w:rsidRDefault="00BF4FC1" w:rsidP="00602672">
      <w:pPr>
        <w:pStyle w:val="Paragraphedeliste"/>
        <w:numPr>
          <w:ilvl w:val="0"/>
          <w:numId w:val="20"/>
        </w:numPr>
        <w:rPr>
          <w:rFonts w:asciiTheme="minorHAnsi" w:hAnsiTheme="minorHAnsi"/>
        </w:rPr>
      </w:pPr>
      <w:r w:rsidRPr="009A5223">
        <w:rPr>
          <w:rFonts w:asciiTheme="minorHAnsi" w:hAnsiTheme="minorHAnsi"/>
        </w:rPr>
        <w:t>détermination des moyens humains nécessaires à la mise en place du dispositif de tri à la source des biodéchets et des coûts correspondants :</w:t>
      </w:r>
    </w:p>
    <w:p w:rsidR="00BF4FC1" w:rsidRPr="009A5223" w:rsidRDefault="00BF4FC1" w:rsidP="00602672">
      <w:pPr>
        <w:pStyle w:val="Paragraphedeliste"/>
        <w:numPr>
          <w:ilvl w:val="1"/>
          <w:numId w:val="20"/>
        </w:numPr>
        <w:rPr>
          <w:rFonts w:asciiTheme="minorHAnsi" w:hAnsiTheme="minorHAnsi"/>
        </w:rPr>
      </w:pPr>
      <w:r w:rsidRPr="009A5223">
        <w:rPr>
          <w:rFonts w:asciiTheme="minorHAnsi" w:hAnsiTheme="minorHAnsi"/>
        </w:rPr>
        <w:t>pour la collecte séparée des biodéchets, pour la gestion et l’animation du réseau de composteurs partagés</w:t>
      </w:r>
    </w:p>
    <w:p w:rsidR="00BF4FC1" w:rsidRPr="009A5223" w:rsidRDefault="00BF4FC1" w:rsidP="00602672">
      <w:pPr>
        <w:pStyle w:val="Paragraphedeliste"/>
        <w:numPr>
          <w:ilvl w:val="1"/>
          <w:numId w:val="20"/>
        </w:numPr>
        <w:rPr>
          <w:rFonts w:asciiTheme="minorHAnsi" w:hAnsiTheme="minorHAnsi"/>
        </w:rPr>
      </w:pPr>
      <w:r w:rsidRPr="009A5223">
        <w:rPr>
          <w:rFonts w:asciiTheme="minorHAnsi" w:hAnsiTheme="minorHAnsi"/>
        </w:rPr>
        <w:t>pour la communication autour du dispositif</w:t>
      </w:r>
    </w:p>
    <w:p w:rsidR="00BF4FC1" w:rsidRPr="009A5223" w:rsidRDefault="00BF4FC1" w:rsidP="00602672">
      <w:pPr>
        <w:pStyle w:val="Paragraphedeliste"/>
        <w:numPr>
          <w:ilvl w:val="1"/>
          <w:numId w:val="20"/>
        </w:numPr>
        <w:rPr>
          <w:rFonts w:asciiTheme="minorHAnsi" w:hAnsiTheme="minorHAnsi"/>
        </w:rPr>
      </w:pPr>
      <w:r w:rsidRPr="009A5223">
        <w:rPr>
          <w:rFonts w:asciiTheme="minorHAnsi" w:hAnsiTheme="minorHAnsi"/>
        </w:rPr>
        <w:t>pour la facturation des professionnels</w:t>
      </w:r>
    </w:p>
    <w:p w:rsidR="00BF4FC1" w:rsidRPr="009A5223" w:rsidRDefault="00BF4FC1" w:rsidP="00602672">
      <w:pPr>
        <w:pStyle w:val="Paragraphedeliste"/>
        <w:numPr>
          <w:ilvl w:val="1"/>
          <w:numId w:val="20"/>
        </w:numPr>
        <w:rPr>
          <w:rFonts w:asciiTheme="minorHAnsi" w:hAnsiTheme="minorHAnsi"/>
        </w:rPr>
      </w:pPr>
      <w:r w:rsidRPr="009A5223">
        <w:rPr>
          <w:rFonts w:asciiTheme="minorHAnsi" w:hAnsiTheme="minorHAnsi"/>
        </w:rPr>
        <w:t>pour le traitement des biodéchets (si réalisé en régie)</w:t>
      </w:r>
    </w:p>
    <w:p w:rsidR="00BF4FC1" w:rsidRPr="009A5223" w:rsidRDefault="00BF4FC1" w:rsidP="00602672">
      <w:pPr>
        <w:pStyle w:val="Paragraphedeliste"/>
        <w:numPr>
          <w:ilvl w:val="1"/>
          <w:numId w:val="20"/>
        </w:numPr>
        <w:rPr>
          <w:rFonts w:asciiTheme="minorHAnsi" w:hAnsiTheme="minorHAnsi"/>
        </w:rPr>
      </w:pPr>
      <w:r w:rsidRPr="009A5223">
        <w:rPr>
          <w:rFonts w:asciiTheme="minorHAnsi" w:hAnsiTheme="minorHAnsi"/>
        </w:rPr>
        <w:t>...</w:t>
      </w:r>
    </w:p>
    <w:p w:rsidR="00BF4FC1" w:rsidRPr="009A5223" w:rsidRDefault="00BF4FC1" w:rsidP="00602672">
      <w:pPr>
        <w:pStyle w:val="Paragraphedeliste"/>
        <w:numPr>
          <w:ilvl w:val="0"/>
          <w:numId w:val="20"/>
        </w:numPr>
        <w:rPr>
          <w:rFonts w:asciiTheme="minorHAnsi" w:hAnsiTheme="minorHAnsi"/>
        </w:rPr>
      </w:pPr>
      <w:r w:rsidRPr="009A5223">
        <w:rPr>
          <w:rFonts w:asciiTheme="minorHAnsi" w:hAnsiTheme="minorHAnsi"/>
        </w:rPr>
        <w:t>détermination des moyens matériels à mobiliser et des coûts correspondants (pour la pré-collecte, la collecte des biodéchets, l’achat des composteurs, les équipements de traitement : plateforme de compostage centralisé...).</w:t>
      </w:r>
    </w:p>
    <w:p w:rsidR="00BF4FC1" w:rsidRPr="009A5223" w:rsidRDefault="00BF4FC1" w:rsidP="00602672">
      <w:pPr>
        <w:pStyle w:val="Paragraphedeliste"/>
        <w:numPr>
          <w:ilvl w:val="0"/>
          <w:numId w:val="20"/>
        </w:numPr>
        <w:rPr>
          <w:rFonts w:asciiTheme="minorHAnsi" w:hAnsiTheme="minorHAnsi"/>
        </w:rPr>
      </w:pPr>
      <w:r w:rsidRPr="009A5223">
        <w:rPr>
          <w:rFonts w:asciiTheme="minorHAnsi" w:hAnsiTheme="minorHAnsi"/>
        </w:rPr>
        <w:t>programmation de formations pour les agents de la collectivité</w:t>
      </w:r>
    </w:p>
    <w:p w:rsidR="00BF4FC1" w:rsidRPr="009A5223" w:rsidRDefault="00BF4FC1" w:rsidP="00602672">
      <w:pPr>
        <w:pStyle w:val="Paragraphedeliste"/>
        <w:numPr>
          <w:ilvl w:val="0"/>
          <w:numId w:val="20"/>
        </w:numPr>
        <w:rPr>
          <w:rFonts w:asciiTheme="minorHAnsi" w:hAnsiTheme="minorHAnsi"/>
        </w:rPr>
      </w:pPr>
      <w:r w:rsidRPr="009A5223">
        <w:rPr>
          <w:rFonts w:asciiTheme="minorHAnsi" w:hAnsiTheme="minorHAnsi"/>
        </w:rPr>
        <w:t>sensibilisation, information et formation des élus sur le dispositif qui sera déployé</w:t>
      </w:r>
    </w:p>
    <w:p w:rsidR="00BF4FC1" w:rsidRPr="009A5223" w:rsidRDefault="00BF4FC1" w:rsidP="007657AD">
      <w:pPr>
        <w:pStyle w:val="Titre3"/>
        <w:rPr>
          <w:rFonts w:asciiTheme="minorHAnsi" w:hAnsiTheme="minorHAnsi"/>
        </w:rPr>
      </w:pPr>
      <w:bookmarkStart w:id="13" w:name="_Toc507407598"/>
      <w:r w:rsidRPr="009A5223">
        <w:rPr>
          <w:rFonts w:asciiTheme="minorHAnsi" w:hAnsiTheme="minorHAnsi"/>
        </w:rPr>
        <w:t>Sur la production de déchets</w:t>
      </w:r>
      <w:bookmarkEnd w:id="13"/>
    </w:p>
    <w:p w:rsidR="00BF4FC1" w:rsidRPr="009A5223" w:rsidRDefault="00BF4FC1" w:rsidP="00602672">
      <w:pPr>
        <w:pStyle w:val="Paragraphedeliste"/>
        <w:numPr>
          <w:ilvl w:val="0"/>
          <w:numId w:val="21"/>
        </w:numPr>
        <w:rPr>
          <w:rFonts w:asciiTheme="minorHAnsi" w:hAnsiTheme="minorHAnsi"/>
        </w:rPr>
      </w:pPr>
      <w:r w:rsidRPr="009A5223">
        <w:rPr>
          <w:rFonts w:asciiTheme="minorHAnsi" w:hAnsiTheme="minorHAnsi"/>
        </w:rPr>
        <w:t>estimation de la réduction de la part des biodéchets dans les ordures ménagères résiduelles, suite à la mise en œuvre du projet</w:t>
      </w:r>
    </w:p>
    <w:p w:rsidR="00BF4FC1" w:rsidRPr="009A5223" w:rsidRDefault="00BF4FC1" w:rsidP="00602672">
      <w:pPr>
        <w:pStyle w:val="Paragraphedeliste"/>
        <w:numPr>
          <w:ilvl w:val="0"/>
          <w:numId w:val="21"/>
        </w:numPr>
        <w:rPr>
          <w:rFonts w:asciiTheme="minorHAnsi" w:hAnsiTheme="minorHAnsi"/>
        </w:rPr>
      </w:pPr>
      <w:r w:rsidRPr="009A5223">
        <w:rPr>
          <w:rFonts w:asciiTheme="minorHAnsi" w:hAnsiTheme="minorHAnsi"/>
        </w:rPr>
        <w:t>estimation des gisements captés par la collecte séparée et par la gestion de proximité (exprimé en kg/habitant desservi) en fonction du taux de participation visé (à décliner sur une fourchette haute et basse de participation)</w:t>
      </w:r>
    </w:p>
    <w:p w:rsidR="007657AD" w:rsidRPr="009A5223" w:rsidRDefault="007657AD" w:rsidP="007657AD">
      <w:pPr>
        <w:rPr>
          <w:rFonts w:asciiTheme="minorHAnsi" w:hAnsiTheme="minorHAnsi"/>
        </w:rPr>
      </w:pPr>
    </w:p>
    <w:p w:rsidR="00BF4FC1" w:rsidRPr="009A5223" w:rsidRDefault="00BF4FC1" w:rsidP="007657AD">
      <w:pPr>
        <w:rPr>
          <w:rFonts w:asciiTheme="minorHAnsi" w:hAnsiTheme="minorHAnsi"/>
        </w:rPr>
      </w:pPr>
      <w:r w:rsidRPr="009A5223">
        <w:rPr>
          <w:rFonts w:asciiTheme="minorHAnsi" w:hAnsiTheme="minorHAnsi"/>
        </w:rPr>
        <w:t>A noter : les actions de gestion de proximité des biodéchets préexistant et suscitant l’adhésion des habitants sont à conforter et optimiser.</w:t>
      </w:r>
    </w:p>
    <w:p w:rsidR="00BF4FC1" w:rsidRPr="007657AD" w:rsidRDefault="00BF4FC1" w:rsidP="007657AD">
      <w:pPr>
        <w:pStyle w:val="Titre3"/>
      </w:pPr>
      <w:bookmarkStart w:id="14" w:name="_Toc507407599"/>
      <w:r w:rsidRPr="007657AD">
        <w:t>Sur la faisabilité réglementaire</w:t>
      </w:r>
      <w:bookmarkEnd w:id="14"/>
    </w:p>
    <w:p w:rsidR="00BF4FC1" w:rsidRPr="009A5223" w:rsidRDefault="00BF4FC1" w:rsidP="007657AD">
      <w:pPr>
        <w:rPr>
          <w:rFonts w:asciiTheme="minorHAnsi" w:hAnsiTheme="minorHAnsi"/>
        </w:rPr>
      </w:pPr>
      <w:r w:rsidRPr="009A5223">
        <w:rPr>
          <w:rFonts w:asciiTheme="minorHAnsi" w:hAnsiTheme="minorHAnsi"/>
        </w:rPr>
        <w:t>Le titulaire identifiera également les éventuels blocages réglementaires relatifs à :</w:t>
      </w:r>
    </w:p>
    <w:p w:rsidR="00BF4FC1" w:rsidRPr="009A5223" w:rsidRDefault="00BF4FC1" w:rsidP="00602672">
      <w:pPr>
        <w:pStyle w:val="Paragraphedeliste"/>
        <w:numPr>
          <w:ilvl w:val="0"/>
          <w:numId w:val="21"/>
        </w:numPr>
        <w:rPr>
          <w:rFonts w:asciiTheme="minorHAnsi" w:hAnsiTheme="minorHAnsi"/>
        </w:rPr>
      </w:pPr>
      <w:r w:rsidRPr="009A5223">
        <w:rPr>
          <w:rFonts w:asciiTheme="minorHAnsi" w:hAnsiTheme="minorHAnsi"/>
        </w:rPr>
        <w:t>la réduction des fréquences de collecte</w:t>
      </w:r>
    </w:p>
    <w:p w:rsidR="00BF4FC1" w:rsidRPr="009A5223" w:rsidRDefault="00BF4FC1" w:rsidP="00602672">
      <w:pPr>
        <w:pStyle w:val="Paragraphedeliste"/>
        <w:numPr>
          <w:ilvl w:val="0"/>
          <w:numId w:val="21"/>
        </w:numPr>
        <w:rPr>
          <w:rFonts w:asciiTheme="minorHAnsi" w:hAnsiTheme="minorHAnsi"/>
        </w:rPr>
      </w:pPr>
      <w:r w:rsidRPr="009A5223">
        <w:rPr>
          <w:rFonts w:asciiTheme="minorHAnsi" w:hAnsiTheme="minorHAnsi"/>
        </w:rPr>
        <w:t>la conformité des installations de traitement des biodéchets avec les flux entrants (autorisation d’accueillir des sous-produits animaux notamment)</w:t>
      </w:r>
    </w:p>
    <w:p w:rsidR="00BF4FC1" w:rsidRPr="009A5223" w:rsidRDefault="00BF4FC1" w:rsidP="00602672">
      <w:pPr>
        <w:pStyle w:val="Paragraphedeliste"/>
        <w:numPr>
          <w:ilvl w:val="0"/>
          <w:numId w:val="21"/>
        </w:numPr>
        <w:rPr>
          <w:rFonts w:asciiTheme="minorHAnsi" w:hAnsiTheme="minorHAnsi"/>
        </w:rPr>
      </w:pPr>
      <w:r w:rsidRPr="009A5223">
        <w:rPr>
          <w:rFonts w:asciiTheme="minorHAnsi" w:hAnsiTheme="minorHAnsi"/>
        </w:rPr>
        <w:t>...</w:t>
      </w:r>
    </w:p>
    <w:p w:rsidR="00BF4FC1" w:rsidRPr="009A5223" w:rsidRDefault="00BF4FC1" w:rsidP="007657AD">
      <w:pPr>
        <w:rPr>
          <w:rFonts w:asciiTheme="minorHAnsi" w:hAnsiTheme="minorHAnsi"/>
        </w:rPr>
      </w:pPr>
    </w:p>
    <w:p w:rsidR="00BF4FC1" w:rsidRPr="009A5223" w:rsidRDefault="00BF4FC1" w:rsidP="007657AD">
      <w:pPr>
        <w:rPr>
          <w:rFonts w:asciiTheme="minorHAnsi" w:hAnsiTheme="minorHAnsi"/>
        </w:rPr>
      </w:pPr>
      <w:r w:rsidRPr="009A5223">
        <w:rPr>
          <w:rFonts w:asciiTheme="minorHAnsi" w:hAnsiTheme="minorHAnsi"/>
        </w:rPr>
        <w:t>Si la collectivité délègue sa compétence traitement, il est nécessaire de valider en amont que la facturation du syndicat est corrélée à la production de déchets de la collectivité afin de s’assurer que la baisse de production d’OMR aura un effet sur la contribution payée par la collectivité au syndicat. De même, la prise en charge (ou non) des biodéchets dans les filières de traitement du syndicat sera à acter.</w:t>
      </w:r>
    </w:p>
    <w:p w:rsidR="00BF4FC1" w:rsidRPr="009A5223" w:rsidRDefault="00BF4FC1" w:rsidP="007657AD">
      <w:pPr>
        <w:rPr>
          <w:rFonts w:asciiTheme="minorHAnsi" w:hAnsiTheme="minorHAnsi"/>
        </w:rPr>
      </w:pPr>
    </w:p>
    <w:p w:rsidR="007657AD" w:rsidRPr="009A5223" w:rsidRDefault="00BF4FC1" w:rsidP="007657AD">
      <w:pPr>
        <w:rPr>
          <w:rFonts w:asciiTheme="minorHAnsi" w:hAnsiTheme="minorHAnsi"/>
        </w:rPr>
        <w:sectPr w:rsidR="007657AD" w:rsidRPr="009A5223" w:rsidSect="00D871CB">
          <w:pgSz w:w="11906" w:h="16838"/>
          <w:pgMar w:top="902" w:right="1418" w:bottom="1418" w:left="1418" w:header="709" w:footer="709" w:gutter="0"/>
          <w:cols w:space="708"/>
          <w:docGrid w:linePitch="360"/>
          <w15:footnoteColumns w:val="1"/>
        </w:sectPr>
      </w:pPr>
      <w:r w:rsidRPr="009A5223">
        <w:rPr>
          <w:rFonts w:asciiTheme="minorHAnsi" w:hAnsiTheme="minorHAnsi"/>
        </w:rPr>
        <w:t>A titre d’exemple, les différents scénarii étudiés pourront être présentés sous la forme d’un tableau tel que celui proposé ci-dessous :</w:t>
      </w:r>
    </w:p>
    <w:tbl>
      <w:tblPr>
        <w:tblStyle w:val="Grilledutableau"/>
        <w:tblW w:w="14312" w:type="dxa"/>
        <w:tblLook w:val="04A0" w:firstRow="1" w:lastRow="0" w:firstColumn="1" w:lastColumn="0" w:noHBand="0" w:noVBand="1"/>
      </w:tblPr>
      <w:tblGrid>
        <w:gridCol w:w="1822"/>
        <w:gridCol w:w="1639"/>
        <w:gridCol w:w="1561"/>
        <w:gridCol w:w="1273"/>
        <w:gridCol w:w="1197"/>
        <w:gridCol w:w="1420"/>
        <w:gridCol w:w="1432"/>
        <w:gridCol w:w="1710"/>
        <w:gridCol w:w="1257"/>
        <w:gridCol w:w="1001"/>
      </w:tblGrid>
      <w:tr w:rsidR="007657AD" w:rsidRPr="007657AD" w:rsidTr="007D25A9">
        <w:tc>
          <w:tcPr>
            <w:tcW w:w="0" w:type="auto"/>
            <w:vAlign w:val="center"/>
          </w:tcPr>
          <w:p w:rsidR="007657AD" w:rsidRPr="007657AD" w:rsidRDefault="007657AD" w:rsidP="007D25A9">
            <w:pPr>
              <w:jc w:val="center"/>
              <w:rPr>
                <w:rFonts w:asciiTheme="minorHAnsi" w:hAnsiTheme="minorHAnsi"/>
                <w:sz w:val="22"/>
                <w:szCs w:val="22"/>
              </w:rPr>
            </w:pPr>
            <w:r w:rsidRPr="007657AD">
              <w:rPr>
                <w:rFonts w:asciiTheme="minorHAnsi" w:hAnsiTheme="minorHAnsi"/>
                <w:sz w:val="22"/>
                <w:szCs w:val="22"/>
              </w:rPr>
              <w:lastRenderedPageBreak/>
              <w:t>Provenance des biodéchets</w:t>
            </w:r>
          </w:p>
        </w:tc>
        <w:tc>
          <w:tcPr>
            <w:tcW w:w="0" w:type="auto"/>
            <w:vAlign w:val="center"/>
          </w:tcPr>
          <w:p w:rsidR="007657AD" w:rsidRPr="007657AD" w:rsidRDefault="007657AD" w:rsidP="007D25A9">
            <w:pPr>
              <w:jc w:val="center"/>
              <w:rPr>
                <w:rFonts w:asciiTheme="minorHAnsi" w:hAnsiTheme="minorHAnsi"/>
                <w:sz w:val="22"/>
                <w:szCs w:val="22"/>
              </w:rPr>
            </w:pPr>
            <w:r w:rsidRPr="007657AD">
              <w:rPr>
                <w:rFonts w:asciiTheme="minorHAnsi" w:hAnsiTheme="minorHAnsi"/>
                <w:sz w:val="22"/>
                <w:szCs w:val="22"/>
              </w:rPr>
              <w:t>Population concernée</w:t>
            </w:r>
          </w:p>
        </w:tc>
        <w:tc>
          <w:tcPr>
            <w:tcW w:w="0" w:type="auto"/>
            <w:vAlign w:val="center"/>
          </w:tcPr>
          <w:p w:rsidR="007657AD" w:rsidRPr="007657AD" w:rsidRDefault="007657AD" w:rsidP="007D25A9">
            <w:pPr>
              <w:jc w:val="center"/>
              <w:rPr>
                <w:rFonts w:asciiTheme="minorHAnsi" w:hAnsiTheme="minorHAnsi"/>
                <w:sz w:val="22"/>
                <w:szCs w:val="22"/>
              </w:rPr>
            </w:pPr>
            <w:r w:rsidRPr="007657AD">
              <w:rPr>
                <w:rFonts w:asciiTheme="minorHAnsi" w:hAnsiTheme="minorHAnsi"/>
                <w:sz w:val="22"/>
                <w:szCs w:val="22"/>
              </w:rPr>
              <w:t>Dispositif de tri à la source</w:t>
            </w:r>
          </w:p>
        </w:tc>
        <w:tc>
          <w:tcPr>
            <w:tcW w:w="0" w:type="auto"/>
            <w:vAlign w:val="center"/>
          </w:tcPr>
          <w:p w:rsidR="007657AD" w:rsidRPr="007657AD" w:rsidRDefault="007657AD" w:rsidP="007D25A9">
            <w:pPr>
              <w:jc w:val="center"/>
              <w:rPr>
                <w:rFonts w:asciiTheme="minorHAnsi" w:hAnsiTheme="minorHAnsi"/>
                <w:sz w:val="22"/>
                <w:szCs w:val="22"/>
              </w:rPr>
            </w:pPr>
            <w:r w:rsidRPr="007657AD">
              <w:rPr>
                <w:rFonts w:asciiTheme="minorHAnsi" w:hAnsiTheme="minorHAnsi"/>
                <w:sz w:val="22"/>
                <w:szCs w:val="22"/>
              </w:rPr>
              <w:t>Fréquence de collecte</w:t>
            </w:r>
          </w:p>
        </w:tc>
        <w:tc>
          <w:tcPr>
            <w:tcW w:w="0" w:type="auto"/>
            <w:vAlign w:val="center"/>
          </w:tcPr>
          <w:p w:rsidR="007657AD" w:rsidRPr="007657AD" w:rsidRDefault="007657AD" w:rsidP="007D25A9">
            <w:pPr>
              <w:jc w:val="center"/>
              <w:rPr>
                <w:rFonts w:asciiTheme="minorHAnsi" w:hAnsiTheme="minorHAnsi"/>
                <w:sz w:val="22"/>
                <w:szCs w:val="22"/>
              </w:rPr>
            </w:pPr>
            <w:r w:rsidRPr="007657AD">
              <w:rPr>
                <w:rFonts w:asciiTheme="minorHAnsi" w:hAnsiTheme="minorHAnsi"/>
                <w:sz w:val="22"/>
                <w:szCs w:val="22"/>
              </w:rPr>
              <w:t>Matériel de pré-collecte</w:t>
            </w:r>
          </w:p>
        </w:tc>
        <w:tc>
          <w:tcPr>
            <w:tcW w:w="0" w:type="auto"/>
            <w:vAlign w:val="center"/>
          </w:tcPr>
          <w:p w:rsidR="007657AD" w:rsidRPr="007657AD" w:rsidRDefault="007657AD" w:rsidP="007D25A9">
            <w:pPr>
              <w:jc w:val="center"/>
              <w:rPr>
                <w:rFonts w:asciiTheme="minorHAnsi" w:hAnsiTheme="minorHAnsi"/>
                <w:sz w:val="22"/>
                <w:szCs w:val="22"/>
              </w:rPr>
            </w:pPr>
            <w:r w:rsidRPr="007657AD">
              <w:rPr>
                <w:rFonts w:asciiTheme="minorHAnsi" w:hAnsiTheme="minorHAnsi"/>
                <w:sz w:val="22"/>
                <w:szCs w:val="22"/>
              </w:rPr>
              <w:t>Taux de participation visé</w:t>
            </w:r>
          </w:p>
        </w:tc>
        <w:tc>
          <w:tcPr>
            <w:tcW w:w="0" w:type="auto"/>
            <w:vAlign w:val="center"/>
          </w:tcPr>
          <w:p w:rsidR="007657AD" w:rsidRPr="007657AD" w:rsidRDefault="007657AD" w:rsidP="007D25A9">
            <w:pPr>
              <w:jc w:val="center"/>
              <w:rPr>
                <w:rFonts w:asciiTheme="minorHAnsi" w:hAnsiTheme="minorHAnsi"/>
                <w:sz w:val="22"/>
                <w:szCs w:val="22"/>
              </w:rPr>
            </w:pPr>
            <w:r w:rsidRPr="007657AD">
              <w:rPr>
                <w:rFonts w:asciiTheme="minorHAnsi" w:hAnsiTheme="minorHAnsi"/>
                <w:sz w:val="22"/>
                <w:szCs w:val="22"/>
              </w:rPr>
              <w:t>Tonnage annuel collecté prévisionnel</w:t>
            </w:r>
          </w:p>
        </w:tc>
        <w:tc>
          <w:tcPr>
            <w:tcW w:w="0" w:type="auto"/>
            <w:vAlign w:val="center"/>
          </w:tcPr>
          <w:p w:rsidR="007657AD" w:rsidRPr="007657AD" w:rsidRDefault="007657AD" w:rsidP="007D25A9">
            <w:pPr>
              <w:jc w:val="center"/>
              <w:rPr>
                <w:rFonts w:asciiTheme="minorHAnsi" w:hAnsiTheme="minorHAnsi"/>
                <w:sz w:val="22"/>
                <w:szCs w:val="22"/>
              </w:rPr>
            </w:pPr>
            <w:r w:rsidRPr="007657AD">
              <w:rPr>
                <w:rFonts w:asciiTheme="minorHAnsi" w:hAnsiTheme="minorHAnsi"/>
                <w:sz w:val="22"/>
                <w:szCs w:val="22"/>
              </w:rPr>
              <w:t>Dispositif de communication ad hoc</w:t>
            </w:r>
          </w:p>
        </w:tc>
        <w:tc>
          <w:tcPr>
            <w:tcW w:w="0" w:type="auto"/>
            <w:vAlign w:val="center"/>
          </w:tcPr>
          <w:p w:rsidR="007657AD" w:rsidRPr="007657AD" w:rsidRDefault="007657AD" w:rsidP="007D25A9">
            <w:pPr>
              <w:jc w:val="center"/>
              <w:rPr>
                <w:rFonts w:asciiTheme="minorHAnsi" w:hAnsiTheme="minorHAnsi"/>
                <w:sz w:val="22"/>
                <w:szCs w:val="22"/>
              </w:rPr>
            </w:pPr>
            <w:r w:rsidRPr="007657AD">
              <w:rPr>
                <w:rFonts w:asciiTheme="minorHAnsi" w:hAnsiTheme="minorHAnsi"/>
                <w:sz w:val="22"/>
                <w:szCs w:val="22"/>
              </w:rPr>
              <w:t>Facturation</w:t>
            </w:r>
          </w:p>
        </w:tc>
        <w:tc>
          <w:tcPr>
            <w:tcW w:w="1001" w:type="dxa"/>
            <w:vAlign w:val="center"/>
          </w:tcPr>
          <w:p w:rsidR="007657AD" w:rsidRPr="007657AD" w:rsidRDefault="007657AD" w:rsidP="007D25A9">
            <w:pPr>
              <w:jc w:val="center"/>
              <w:rPr>
                <w:rFonts w:asciiTheme="minorHAnsi" w:hAnsiTheme="minorHAnsi"/>
                <w:sz w:val="22"/>
                <w:szCs w:val="22"/>
              </w:rPr>
            </w:pPr>
            <w:r w:rsidRPr="007657AD">
              <w:rPr>
                <w:rFonts w:asciiTheme="minorHAnsi" w:hAnsiTheme="minorHAnsi"/>
                <w:sz w:val="22"/>
                <w:szCs w:val="22"/>
              </w:rPr>
              <w:t>Coût</w:t>
            </w:r>
          </w:p>
        </w:tc>
      </w:tr>
      <w:tr w:rsidR="007657AD" w:rsidRPr="007657AD" w:rsidTr="007D25A9">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Ménages, zone rurale</w:t>
            </w:r>
          </w:p>
        </w:tc>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5 000 habitants (10% de la pop de la CL)</w:t>
            </w:r>
          </w:p>
        </w:tc>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mise à disposition de composteurs individuels</w:t>
            </w:r>
          </w:p>
        </w:tc>
        <w:tc>
          <w:tcPr>
            <w:tcW w:w="0" w:type="auto"/>
            <w:vAlign w:val="center"/>
          </w:tcPr>
          <w:p w:rsidR="007657AD" w:rsidRPr="007657AD" w:rsidRDefault="007657AD" w:rsidP="007D25A9">
            <w:pPr>
              <w:jc w:val="center"/>
              <w:rPr>
                <w:rFonts w:asciiTheme="minorHAnsi" w:hAnsiTheme="minorHAnsi"/>
                <w:sz w:val="22"/>
                <w:szCs w:val="22"/>
              </w:rPr>
            </w:pPr>
            <w:r w:rsidRPr="007657AD">
              <w:rPr>
                <w:rFonts w:asciiTheme="minorHAnsi" w:hAnsiTheme="minorHAnsi"/>
                <w:sz w:val="22"/>
                <w:szCs w:val="22"/>
              </w:rPr>
              <w:t>/</w:t>
            </w: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center"/>
              <w:rPr>
                <w:rFonts w:asciiTheme="minorHAnsi" w:hAnsiTheme="minorHAnsi"/>
                <w:sz w:val="22"/>
                <w:szCs w:val="22"/>
              </w:rPr>
            </w:pPr>
            <w:r w:rsidRPr="007657AD">
              <w:rPr>
                <w:rFonts w:asciiTheme="minorHAnsi" w:hAnsiTheme="minorHAnsi"/>
                <w:sz w:val="22"/>
                <w:szCs w:val="22"/>
              </w:rPr>
              <w:t>75 %</w:t>
            </w: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center"/>
              <w:rPr>
                <w:rFonts w:asciiTheme="minorHAnsi" w:hAnsiTheme="minorHAnsi"/>
                <w:sz w:val="22"/>
                <w:szCs w:val="22"/>
              </w:rPr>
            </w:pPr>
            <w:r w:rsidRPr="007657AD">
              <w:rPr>
                <w:rFonts w:asciiTheme="minorHAnsi" w:hAnsiTheme="minorHAnsi"/>
                <w:sz w:val="22"/>
                <w:szCs w:val="22"/>
              </w:rPr>
              <w:t>TEOM / REOM</w:t>
            </w:r>
          </w:p>
        </w:tc>
        <w:tc>
          <w:tcPr>
            <w:tcW w:w="1001" w:type="dxa"/>
            <w:vAlign w:val="center"/>
          </w:tcPr>
          <w:p w:rsidR="007657AD" w:rsidRPr="007657AD" w:rsidRDefault="007657AD" w:rsidP="007D25A9">
            <w:pPr>
              <w:jc w:val="left"/>
              <w:rPr>
                <w:rFonts w:asciiTheme="minorHAnsi" w:hAnsiTheme="minorHAnsi"/>
                <w:sz w:val="22"/>
                <w:szCs w:val="22"/>
              </w:rPr>
            </w:pPr>
          </w:p>
        </w:tc>
      </w:tr>
      <w:tr w:rsidR="007657AD" w:rsidRPr="007657AD" w:rsidTr="007D25A9">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Ménages, habitat pavillonnaire, zone péri-urbaine</w:t>
            </w:r>
          </w:p>
        </w:tc>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25 000hab</w:t>
            </w:r>
          </w:p>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(50 % de la pop de la CL)</w:t>
            </w:r>
          </w:p>
        </w:tc>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collecte en pap</w:t>
            </w:r>
          </w:p>
        </w:tc>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C1 biodéchets</w:t>
            </w:r>
          </w:p>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C 0,5 : OMR / recyclables</w:t>
            </w:r>
          </w:p>
        </w:tc>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bac 80 L cuve réductrice</w:t>
            </w:r>
          </w:p>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bioseaux ajourés</w:t>
            </w:r>
          </w:p>
        </w:tc>
        <w:tc>
          <w:tcPr>
            <w:tcW w:w="0" w:type="auto"/>
            <w:vAlign w:val="center"/>
          </w:tcPr>
          <w:p w:rsidR="007657AD" w:rsidRPr="007657AD" w:rsidRDefault="007657AD" w:rsidP="007D25A9">
            <w:pPr>
              <w:jc w:val="center"/>
              <w:rPr>
                <w:rFonts w:asciiTheme="minorHAnsi" w:hAnsiTheme="minorHAnsi"/>
                <w:sz w:val="22"/>
                <w:szCs w:val="22"/>
              </w:rPr>
            </w:pPr>
            <w:r w:rsidRPr="007657AD">
              <w:rPr>
                <w:rFonts w:asciiTheme="minorHAnsi" w:hAnsiTheme="minorHAnsi"/>
                <w:sz w:val="22"/>
                <w:szCs w:val="22"/>
              </w:rPr>
              <w:t>60 %</w:t>
            </w: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center"/>
              <w:rPr>
                <w:rFonts w:asciiTheme="minorHAnsi" w:hAnsiTheme="minorHAnsi"/>
                <w:sz w:val="22"/>
                <w:szCs w:val="22"/>
              </w:rPr>
            </w:pPr>
          </w:p>
        </w:tc>
        <w:tc>
          <w:tcPr>
            <w:tcW w:w="1001" w:type="dxa"/>
            <w:vAlign w:val="center"/>
          </w:tcPr>
          <w:p w:rsidR="007657AD" w:rsidRPr="007657AD" w:rsidRDefault="007657AD" w:rsidP="007D25A9">
            <w:pPr>
              <w:jc w:val="left"/>
              <w:rPr>
                <w:rFonts w:asciiTheme="minorHAnsi" w:hAnsiTheme="minorHAnsi"/>
                <w:sz w:val="22"/>
                <w:szCs w:val="22"/>
              </w:rPr>
            </w:pPr>
          </w:p>
        </w:tc>
      </w:tr>
      <w:tr w:rsidR="007657AD" w:rsidRPr="007657AD" w:rsidTr="007D25A9">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Ménages, habitat vertical</w:t>
            </w:r>
          </w:p>
        </w:tc>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5 000 habitants (10% de la pop de la CL)</w:t>
            </w:r>
          </w:p>
        </w:tc>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PAV</w:t>
            </w:r>
          </w:p>
        </w:tc>
        <w:tc>
          <w:tcPr>
            <w:tcW w:w="0" w:type="auto"/>
            <w:vAlign w:val="center"/>
          </w:tcPr>
          <w:p w:rsidR="007657AD" w:rsidRPr="007657AD" w:rsidRDefault="007657AD" w:rsidP="007D25A9">
            <w:pPr>
              <w:jc w:val="center"/>
              <w:rPr>
                <w:rFonts w:asciiTheme="minorHAnsi" w:hAnsiTheme="minorHAnsi"/>
                <w:sz w:val="22"/>
                <w:szCs w:val="22"/>
              </w:rPr>
            </w:pPr>
            <w:r w:rsidRPr="007657AD">
              <w:rPr>
                <w:rFonts w:asciiTheme="minorHAnsi" w:hAnsiTheme="minorHAnsi"/>
                <w:sz w:val="22"/>
                <w:szCs w:val="22"/>
              </w:rPr>
              <w:t>/</w:t>
            </w:r>
          </w:p>
        </w:tc>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bioseaux ajourés</w:t>
            </w:r>
          </w:p>
        </w:tc>
        <w:tc>
          <w:tcPr>
            <w:tcW w:w="0" w:type="auto"/>
            <w:vAlign w:val="center"/>
          </w:tcPr>
          <w:p w:rsidR="007657AD" w:rsidRPr="007657AD" w:rsidRDefault="007657AD" w:rsidP="007D25A9">
            <w:pPr>
              <w:jc w:val="center"/>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center"/>
              <w:rPr>
                <w:rFonts w:asciiTheme="minorHAnsi" w:hAnsiTheme="minorHAnsi"/>
                <w:sz w:val="22"/>
                <w:szCs w:val="22"/>
              </w:rPr>
            </w:pPr>
          </w:p>
        </w:tc>
        <w:tc>
          <w:tcPr>
            <w:tcW w:w="1001" w:type="dxa"/>
            <w:vAlign w:val="center"/>
          </w:tcPr>
          <w:p w:rsidR="007657AD" w:rsidRPr="007657AD" w:rsidRDefault="007657AD" w:rsidP="007D25A9">
            <w:pPr>
              <w:jc w:val="left"/>
              <w:rPr>
                <w:rFonts w:asciiTheme="minorHAnsi" w:hAnsiTheme="minorHAnsi"/>
                <w:sz w:val="22"/>
                <w:szCs w:val="22"/>
              </w:rPr>
            </w:pPr>
          </w:p>
        </w:tc>
      </w:tr>
      <w:tr w:rsidR="007657AD" w:rsidRPr="007657AD" w:rsidTr="007D25A9">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Habitat vertical, présence espaces verts</w:t>
            </w: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Composteurs partagés immeubles volontaires</w:t>
            </w:r>
          </w:p>
        </w:tc>
        <w:tc>
          <w:tcPr>
            <w:tcW w:w="0" w:type="auto"/>
            <w:vAlign w:val="center"/>
          </w:tcPr>
          <w:p w:rsidR="007657AD" w:rsidRPr="007657AD" w:rsidRDefault="007657AD" w:rsidP="007D25A9">
            <w:pPr>
              <w:jc w:val="center"/>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center"/>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center"/>
              <w:rPr>
                <w:rFonts w:asciiTheme="minorHAnsi" w:hAnsiTheme="minorHAnsi"/>
                <w:sz w:val="22"/>
                <w:szCs w:val="22"/>
              </w:rPr>
            </w:pPr>
          </w:p>
        </w:tc>
        <w:tc>
          <w:tcPr>
            <w:tcW w:w="1001" w:type="dxa"/>
            <w:vAlign w:val="center"/>
          </w:tcPr>
          <w:p w:rsidR="007657AD" w:rsidRPr="007657AD" w:rsidRDefault="007657AD" w:rsidP="007D25A9">
            <w:pPr>
              <w:jc w:val="left"/>
              <w:rPr>
                <w:rFonts w:asciiTheme="minorHAnsi" w:hAnsiTheme="minorHAnsi"/>
                <w:sz w:val="22"/>
                <w:szCs w:val="22"/>
              </w:rPr>
            </w:pPr>
          </w:p>
        </w:tc>
      </w:tr>
      <w:tr w:rsidR="007657AD" w:rsidRPr="007657AD" w:rsidTr="007D25A9">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Ménages, centre historique</w:t>
            </w:r>
          </w:p>
        </w:tc>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15 000 hab</w:t>
            </w:r>
          </w:p>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(30 % de la pop de la CL)</w:t>
            </w: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center"/>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center"/>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center"/>
              <w:rPr>
                <w:rFonts w:asciiTheme="minorHAnsi" w:hAnsiTheme="minorHAnsi"/>
                <w:sz w:val="22"/>
                <w:szCs w:val="22"/>
              </w:rPr>
            </w:pPr>
          </w:p>
        </w:tc>
        <w:tc>
          <w:tcPr>
            <w:tcW w:w="1001" w:type="dxa"/>
            <w:vAlign w:val="center"/>
          </w:tcPr>
          <w:p w:rsidR="007657AD" w:rsidRPr="007657AD" w:rsidRDefault="007657AD" w:rsidP="007D25A9">
            <w:pPr>
              <w:jc w:val="left"/>
              <w:rPr>
                <w:rFonts w:asciiTheme="minorHAnsi" w:hAnsiTheme="minorHAnsi"/>
                <w:sz w:val="22"/>
                <w:szCs w:val="22"/>
              </w:rPr>
            </w:pPr>
          </w:p>
        </w:tc>
      </w:tr>
      <w:tr w:rsidR="007657AD" w:rsidRPr="007657AD" w:rsidTr="007D25A9">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Petits producteurs professionnels (commerces, crèches...)</w:t>
            </w:r>
          </w:p>
        </w:tc>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120 professionnels</w:t>
            </w:r>
          </w:p>
        </w:tc>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collecte en pap</w:t>
            </w:r>
          </w:p>
        </w:tc>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C2</w:t>
            </w: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center"/>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center"/>
              <w:rPr>
                <w:rFonts w:asciiTheme="minorHAnsi" w:hAnsiTheme="minorHAnsi"/>
                <w:sz w:val="22"/>
                <w:szCs w:val="22"/>
              </w:rPr>
            </w:pPr>
            <w:r w:rsidRPr="007657AD">
              <w:rPr>
                <w:rFonts w:asciiTheme="minorHAnsi" w:hAnsiTheme="minorHAnsi"/>
                <w:sz w:val="22"/>
                <w:szCs w:val="22"/>
              </w:rPr>
              <w:t>RS</w:t>
            </w:r>
          </w:p>
        </w:tc>
        <w:tc>
          <w:tcPr>
            <w:tcW w:w="1001" w:type="dxa"/>
            <w:vAlign w:val="center"/>
          </w:tcPr>
          <w:p w:rsidR="007657AD" w:rsidRPr="007657AD" w:rsidRDefault="007657AD" w:rsidP="007D25A9">
            <w:pPr>
              <w:jc w:val="left"/>
              <w:rPr>
                <w:rFonts w:asciiTheme="minorHAnsi" w:hAnsiTheme="minorHAnsi"/>
                <w:sz w:val="22"/>
                <w:szCs w:val="22"/>
              </w:rPr>
            </w:pPr>
          </w:p>
        </w:tc>
      </w:tr>
      <w:tr w:rsidR="007657AD" w:rsidRPr="007657AD" w:rsidTr="007D25A9">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Moyens et gros producteurs professionnels (restaurations d’entreprise...)</w:t>
            </w:r>
          </w:p>
        </w:tc>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180 professionnels</w:t>
            </w: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center"/>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center"/>
              <w:rPr>
                <w:rFonts w:asciiTheme="minorHAnsi" w:hAnsiTheme="minorHAnsi"/>
                <w:sz w:val="22"/>
                <w:szCs w:val="22"/>
              </w:rPr>
            </w:pPr>
            <w:r w:rsidRPr="007657AD">
              <w:rPr>
                <w:rFonts w:asciiTheme="minorHAnsi" w:hAnsiTheme="minorHAnsi"/>
                <w:sz w:val="22"/>
                <w:szCs w:val="22"/>
              </w:rPr>
              <w:t>RS</w:t>
            </w:r>
          </w:p>
        </w:tc>
        <w:tc>
          <w:tcPr>
            <w:tcW w:w="1001" w:type="dxa"/>
            <w:vAlign w:val="center"/>
          </w:tcPr>
          <w:p w:rsidR="007657AD" w:rsidRPr="007657AD" w:rsidRDefault="007657AD" w:rsidP="007D25A9">
            <w:pPr>
              <w:jc w:val="left"/>
              <w:rPr>
                <w:rFonts w:asciiTheme="minorHAnsi" w:hAnsiTheme="minorHAnsi"/>
                <w:sz w:val="22"/>
                <w:szCs w:val="22"/>
              </w:rPr>
            </w:pPr>
          </w:p>
        </w:tc>
      </w:tr>
      <w:tr w:rsidR="007657AD" w:rsidRPr="007657AD" w:rsidTr="007D25A9">
        <w:tc>
          <w:tcPr>
            <w:tcW w:w="0" w:type="auto"/>
            <w:vAlign w:val="center"/>
          </w:tcPr>
          <w:p w:rsidR="007657AD" w:rsidRPr="007657AD" w:rsidRDefault="007657AD" w:rsidP="007D25A9">
            <w:pPr>
              <w:jc w:val="left"/>
              <w:rPr>
                <w:rFonts w:asciiTheme="minorHAnsi" w:hAnsiTheme="minorHAnsi"/>
                <w:sz w:val="22"/>
                <w:szCs w:val="22"/>
              </w:rPr>
            </w:pPr>
            <w:r w:rsidRPr="007657AD">
              <w:rPr>
                <w:rFonts w:asciiTheme="minorHAnsi" w:hAnsiTheme="minorHAnsi"/>
                <w:sz w:val="22"/>
                <w:szCs w:val="22"/>
              </w:rPr>
              <w:t>...</w:t>
            </w: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center"/>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0" w:type="auto"/>
            <w:vAlign w:val="center"/>
          </w:tcPr>
          <w:p w:rsidR="007657AD" w:rsidRPr="007657AD" w:rsidRDefault="007657AD" w:rsidP="007D25A9">
            <w:pPr>
              <w:jc w:val="left"/>
              <w:rPr>
                <w:rFonts w:asciiTheme="minorHAnsi" w:hAnsiTheme="minorHAnsi"/>
                <w:sz w:val="22"/>
                <w:szCs w:val="22"/>
              </w:rPr>
            </w:pPr>
          </w:p>
        </w:tc>
        <w:tc>
          <w:tcPr>
            <w:tcW w:w="1001" w:type="dxa"/>
            <w:vAlign w:val="center"/>
          </w:tcPr>
          <w:p w:rsidR="007657AD" w:rsidRPr="007657AD" w:rsidRDefault="007657AD" w:rsidP="007D25A9">
            <w:pPr>
              <w:jc w:val="left"/>
              <w:rPr>
                <w:rFonts w:asciiTheme="minorHAnsi" w:hAnsiTheme="minorHAnsi"/>
                <w:sz w:val="22"/>
                <w:szCs w:val="22"/>
              </w:rPr>
            </w:pPr>
          </w:p>
        </w:tc>
      </w:tr>
    </w:tbl>
    <w:p w:rsidR="007657AD" w:rsidRDefault="007657AD" w:rsidP="007657AD">
      <w:pPr>
        <w:sectPr w:rsidR="007657AD" w:rsidSect="007657AD">
          <w:pgSz w:w="16838" w:h="11906" w:orient="landscape"/>
          <w:pgMar w:top="1134" w:right="902" w:bottom="1134" w:left="1418" w:header="709" w:footer="709" w:gutter="0"/>
          <w:cols w:space="708"/>
          <w:titlePg/>
          <w:docGrid w:linePitch="360"/>
          <w15:footnoteColumns w:val="1"/>
        </w:sectPr>
      </w:pPr>
    </w:p>
    <w:p w:rsidR="00F83FD0" w:rsidRPr="00F83FD0" w:rsidRDefault="00F83FD0" w:rsidP="007657AD">
      <w:pPr>
        <w:pStyle w:val="Titre2"/>
      </w:pPr>
      <w:bookmarkStart w:id="15" w:name="_Toc507407600"/>
      <w:r w:rsidRPr="00F83FD0">
        <w:lastRenderedPageBreak/>
        <w:t>E</w:t>
      </w:r>
      <w:r w:rsidR="00B51936">
        <w:t>tape</w:t>
      </w:r>
      <w:r w:rsidRPr="00F83FD0">
        <w:t xml:space="preserve"> 3 : </w:t>
      </w:r>
      <w:r w:rsidR="00DA7287">
        <w:t>Approfondissement du scénario retenu – Plan d’actions</w:t>
      </w:r>
      <w:bookmarkEnd w:id="15"/>
    </w:p>
    <w:p w:rsidR="007657AD" w:rsidRPr="007657AD" w:rsidRDefault="007657AD" w:rsidP="007657AD">
      <w:pPr>
        <w:rPr>
          <w:rFonts w:asciiTheme="minorHAnsi" w:hAnsiTheme="minorHAnsi"/>
        </w:rPr>
      </w:pPr>
      <w:r w:rsidRPr="007657AD">
        <w:rPr>
          <w:rFonts w:asciiTheme="minorHAnsi" w:hAnsiTheme="minorHAnsi"/>
          <w:b/>
        </w:rPr>
        <w:t xml:space="preserve">De manière à valider le scénario retenu, la réalisation d’une expérimentation sur une (ou plus) zone(s) test du territoire semble primordiale. La réalisation d’une étude théorique ne peut se substituer à une expérimentation. </w:t>
      </w:r>
      <w:r w:rsidRPr="007657AD">
        <w:rPr>
          <w:rFonts w:asciiTheme="minorHAnsi" w:hAnsiTheme="minorHAnsi"/>
        </w:rPr>
        <w:t>Néanmoins, cette étape de l’étude ne porte pas sur un accompagnement à la mise en œuvre mais sur le plan d’actions à réaliser par la collectivité pour déployer le tri à la source des biodéchets sur son territoire.</w:t>
      </w:r>
    </w:p>
    <w:p w:rsidR="007657AD" w:rsidRPr="007657AD" w:rsidRDefault="007657AD" w:rsidP="007657AD">
      <w:pPr>
        <w:rPr>
          <w:rFonts w:asciiTheme="minorHAnsi" w:hAnsiTheme="minorHAnsi"/>
        </w:rPr>
      </w:pPr>
    </w:p>
    <w:p w:rsidR="007657AD" w:rsidRPr="007657AD" w:rsidRDefault="007657AD" w:rsidP="007657AD">
      <w:pPr>
        <w:rPr>
          <w:rFonts w:asciiTheme="minorHAnsi" w:hAnsiTheme="minorHAnsi"/>
        </w:rPr>
      </w:pPr>
      <w:r w:rsidRPr="007657AD">
        <w:rPr>
          <w:rFonts w:asciiTheme="minorHAnsi" w:hAnsiTheme="minorHAnsi"/>
        </w:rPr>
        <w:t xml:space="preserve">Ainsi, un </w:t>
      </w:r>
      <w:r w:rsidRPr="007657AD">
        <w:rPr>
          <w:rFonts w:asciiTheme="minorHAnsi" w:hAnsiTheme="minorHAnsi"/>
          <w:b/>
          <w:u w:val="single"/>
        </w:rPr>
        <w:t>planning prévisionnel de mise en œuvre</w:t>
      </w:r>
      <w:r w:rsidRPr="007657AD">
        <w:rPr>
          <w:rFonts w:asciiTheme="minorHAnsi" w:hAnsiTheme="minorHAnsi"/>
        </w:rPr>
        <w:t xml:space="preserve"> des dispositifs de tri à la source des biodéchets devra être préparé intégrant les délais pour d’éventuels marchés d’investissements d’équipements de pré-collecte et pour la renégociation éventuelle du (des) contrat(s) de collecte avec le(s) prestataire(s) en place. L’expérimentation du dispositif sur une (ou plus) zone(s) test devra figurer dans ce planning.</w:t>
      </w:r>
    </w:p>
    <w:p w:rsidR="007657AD" w:rsidRPr="007657AD" w:rsidRDefault="007657AD" w:rsidP="007657AD">
      <w:pPr>
        <w:rPr>
          <w:rFonts w:asciiTheme="minorHAnsi" w:hAnsiTheme="minorHAnsi"/>
        </w:rPr>
      </w:pPr>
    </w:p>
    <w:p w:rsidR="007657AD" w:rsidRPr="007657AD" w:rsidRDefault="007657AD" w:rsidP="007657AD">
      <w:pPr>
        <w:rPr>
          <w:rFonts w:asciiTheme="minorHAnsi" w:hAnsiTheme="minorHAnsi"/>
        </w:rPr>
      </w:pPr>
      <w:r w:rsidRPr="007657AD">
        <w:rPr>
          <w:rFonts w:asciiTheme="minorHAnsi" w:hAnsiTheme="minorHAnsi"/>
        </w:rPr>
        <w:t>Globalement, le scénario retenu par la collectivité sera détaillé, notamment la réorganisation du service envisagé. Les actions de communication, de concertation seront affinées, les partenariats avec les associations locales identifiés.</w:t>
      </w:r>
    </w:p>
    <w:p w:rsidR="007657AD" w:rsidRPr="007657AD" w:rsidRDefault="007657AD" w:rsidP="007657AD">
      <w:pPr>
        <w:rPr>
          <w:rFonts w:asciiTheme="minorHAnsi" w:hAnsiTheme="minorHAnsi"/>
        </w:rPr>
      </w:pPr>
    </w:p>
    <w:p w:rsidR="007657AD" w:rsidRDefault="007657AD" w:rsidP="007657AD">
      <w:pPr>
        <w:rPr>
          <w:rFonts w:asciiTheme="minorHAnsi" w:hAnsiTheme="minorHAnsi"/>
        </w:rPr>
      </w:pPr>
      <w:r w:rsidRPr="007657AD">
        <w:rPr>
          <w:rFonts w:asciiTheme="minorHAnsi" w:hAnsiTheme="minorHAnsi"/>
        </w:rPr>
        <w:t xml:space="preserve">De manière à mesurer l’efficacité des dispositifs proposés par la collectivité et d’ajuster au besoin les actions de communication déployées au regard des taux de participation constatés, </w:t>
      </w:r>
      <w:r w:rsidRPr="007657AD">
        <w:rPr>
          <w:rFonts w:asciiTheme="minorHAnsi" w:hAnsiTheme="minorHAnsi"/>
          <w:b/>
          <w:u w:val="single"/>
        </w:rPr>
        <w:t>des indicateurs de suivi de performance</w:t>
      </w:r>
      <w:r w:rsidRPr="007657AD">
        <w:rPr>
          <w:rFonts w:asciiTheme="minorHAnsi" w:hAnsiTheme="minorHAnsi"/>
        </w:rPr>
        <w:t xml:space="preserve"> seront proposés.</w:t>
      </w:r>
    </w:p>
    <w:p w:rsidR="007657AD" w:rsidRPr="007657AD" w:rsidRDefault="007657AD" w:rsidP="007657AD">
      <w:pPr>
        <w:rPr>
          <w:rFonts w:asciiTheme="minorHAnsi" w:hAnsiTheme="minorHAnsi"/>
        </w:rPr>
      </w:pPr>
    </w:p>
    <w:p w:rsidR="007657AD" w:rsidRPr="007657AD" w:rsidRDefault="007657AD" w:rsidP="007657AD">
      <w:pPr>
        <w:rPr>
          <w:rFonts w:asciiTheme="minorHAnsi" w:hAnsiTheme="minorHAnsi"/>
        </w:rPr>
      </w:pPr>
      <w:r w:rsidRPr="007657AD">
        <w:rPr>
          <w:rFonts w:asciiTheme="minorHAnsi" w:hAnsiTheme="minorHAnsi"/>
        </w:rPr>
        <w:t>A titre d’exemple :</w:t>
      </w:r>
    </w:p>
    <w:p w:rsidR="007657AD" w:rsidRPr="007657AD" w:rsidRDefault="007657AD" w:rsidP="00602672">
      <w:pPr>
        <w:pStyle w:val="Paragraphedeliste"/>
        <w:numPr>
          <w:ilvl w:val="0"/>
          <w:numId w:val="24"/>
        </w:numPr>
        <w:rPr>
          <w:rFonts w:asciiTheme="minorHAnsi" w:hAnsiTheme="minorHAnsi"/>
        </w:rPr>
      </w:pPr>
      <w:r w:rsidRPr="007657AD">
        <w:rPr>
          <w:rFonts w:asciiTheme="minorHAnsi" w:hAnsiTheme="minorHAnsi"/>
        </w:rPr>
        <w:t xml:space="preserve">des caractérisations des flux d’OMR avant et après l’instauration de la collecte séparée des biodéchets pourront être menées (conformément aux préconisations précisées dans le </w:t>
      </w:r>
      <w:hyperlink r:id="rId12" w:history="1">
        <w:r w:rsidRPr="007657AD">
          <w:rPr>
            <w:rStyle w:val="Lienhypertexte"/>
            <w:rFonts w:asciiTheme="minorHAnsi" w:hAnsiTheme="minorHAnsi"/>
          </w:rPr>
          <w:t>guide CARADEME</w:t>
        </w:r>
      </w:hyperlink>
      <w:r w:rsidRPr="007657AD">
        <w:rPr>
          <w:rFonts w:asciiTheme="minorHAnsi" w:hAnsiTheme="minorHAnsi"/>
        </w:rPr>
        <w:t xml:space="preserve"> proposé par l’ADEME).</w:t>
      </w:r>
    </w:p>
    <w:p w:rsidR="007657AD" w:rsidRPr="007657AD" w:rsidRDefault="007657AD" w:rsidP="00602672">
      <w:pPr>
        <w:pStyle w:val="Paragraphedeliste"/>
        <w:numPr>
          <w:ilvl w:val="0"/>
          <w:numId w:val="24"/>
        </w:numPr>
        <w:rPr>
          <w:rFonts w:asciiTheme="minorHAnsi" w:hAnsiTheme="minorHAnsi"/>
        </w:rPr>
      </w:pPr>
      <w:r w:rsidRPr="007657AD">
        <w:rPr>
          <w:rFonts w:asciiTheme="minorHAnsi" w:hAnsiTheme="minorHAnsi"/>
        </w:rPr>
        <w:t>les quantités de déchets collectés et leurs évolutions seront suivies.</w:t>
      </w:r>
    </w:p>
    <w:p w:rsidR="007657AD" w:rsidRPr="007657AD" w:rsidRDefault="007657AD" w:rsidP="00602672">
      <w:pPr>
        <w:pStyle w:val="Paragraphedeliste"/>
        <w:numPr>
          <w:ilvl w:val="0"/>
          <w:numId w:val="24"/>
        </w:numPr>
        <w:rPr>
          <w:rFonts w:asciiTheme="minorHAnsi" w:hAnsiTheme="minorHAnsi"/>
        </w:rPr>
      </w:pPr>
      <w:r w:rsidRPr="007657AD">
        <w:rPr>
          <w:rFonts w:asciiTheme="minorHAnsi" w:hAnsiTheme="minorHAnsi"/>
        </w:rPr>
        <w:t>les taux de participation aux dispositifs de gestion de proximité et à la collecte séparée suivis</w:t>
      </w:r>
    </w:p>
    <w:p w:rsidR="007657AD" w:rsidRPr="007657AD" w:rsidRDefault="007657AD" w:rsidP="00602672">
      <w:pPr>
        <w:pStyle w:val="Paragraphedeliste"/>
        <w:numPr>
          <w:ilvl w:val="0"/>
          <w:numId w:val="24"/>
        </w:numPr>
        <w:rPr>
          <w:rFonts w:asciiTheme="minorHAnsi" w:hAnsiTheme="minorHAnsi"/>
        </w:rPr>
      </w:pPr>
      <w:r w:rsidRPr="007657AD">
        <w:rPr>
          <w:rFonts w:asciiTheme="minorHAnsi" w:hAnsiTheme="minorHAnsi"/>
        </w:rPr>
        <w:t>les quantités de biodéchets détournées par le biais de la gestion de proximité estimées (une méthode d’estimation de ces quantités pourra être proposée)</w:t>
      </w:r>
    </w:p>
    <w:p w:rsidR="007657AD" w:rsidRPr="007657AD" w:rsidRDefault="007657AD" w:rsidP="00602672">
      <w:pPr>
        <w:pStyle w:val="Paragraphedeliste"/>
        <w:numPr>
          <w:ilvl w:val="0"/>
          <w:numId w:val="24"/>
        </w:numPr>
        <w:rPr>
          <w:rFonts w:asciiTheme="minorHAnsi" w:hAnsiTheme="minorHAnsi"/>
        </w:rPr>
      </w:pPr>
      <w:r w:rsidRPr="007657AD">
        <w:rPr>
          <w:rFonts w:asciiTheme="minorHAnsi" w:hAnsiTheme="minorHAnsi"/>
        </w:rPr>
        <w:t>les taux de refus de tri et de refus de collecte également suivis</w:t>
      </w:r>
    </w:p>
    <w:p w:rsidR="007657AD" w:rsidRPr="007657AD" w:rsidRDefault="007657AD" w:rsidP="00602672">
      <w:pPr>
        <w:pStyle w:val="Paragraphedeliste"/>
        <w:numPr>
          <w:ilvl w:val="0"/>
          <w:numId w:val="24"/>
        </w:numPr>
        <w:rPr>
          <w:rFonts w:asciiTheme="minorHAnsi" w:hAnsiTheme="minorHAnsi"/>
        </w:rPr>
      </w:pPr>
      <w:r w:rsidRPr="007657AD">
        <w:rPr>
          <w:rFonts w:asciiTheme="minorHAnsi" w:hAnsiTheme="minorHAnsi"/>
        </w:rPr>
        <w:t>la cohérence et la compatibilité du projet avec les objectifs assignés dans le Plan Régional de Prévention et de Gestion des Déchets (PRPGD) notamment au regard du parc d’installations de traitement</w:t>
      </w:r>
    </w:p>
    <w:p w:rsidR="007657AD" w:rsidRDefault="007657AD" w:rsidP="00602672">
      <w:pPr>
        <w:pStyle w:val="Paragraphedeliste"/>
        <w:numPr>
          <w:ilvl w:val="0"/>
          <w:numId w:val="24"/>
        </w:numPr>
        <w:rPr>
          <w:rFonts w:asciiTheme="minorHAnsi" w:hAnsiTheme="minorHAnsi"/>
        </w:rPr>
      </w:pPr>
      <w:r w:rsidRPr="007657AD">
        <w:rPr>
          <w:rFonts w:asciiTheme="minorHAnsi" w:hAnsiTheme="minorHAnsi"/>
        </w:rPr>
        <w:t>...</w:t>
      </w:r>
    </w:p>
    <w:p w:rsidR="007657AD" w:rsidRPr="007657AD" w:rsidRDefault="007657AD" w:rsidP="007657AD">
      <w:pPr>
        <w:rPr>
          <w:rFonts w:asciiTheme="minorHAnsi" w:hAnsiTheme="minorHAnsi"/>
        </w:rPr>
      </w:pPr>
      <w:r w:rsidRPr="007657AD">
        <w:rPr>
          <w:rFonts w:asciiTheme="minorHAnsi" w:hAnsiTheme="minorHAnsi"/>
        </w:rPr>
        <w:t>Les modalités de suivi de ces indicateurs seront à définir par la collectivité au regard de l’évolution de ces derniers et de ses projets.</w:t>
      </w:r>
    </w:p>
    <w:p w:rsidR="00DA7287" w:rsidRDefault="00DA7287" w:rsidP="00602672">
      <w:pPr>
        <w:pStyle w:val="Titre1"/>
        <w:numPr>
          <w:ilvl w:val="0"/>
          <w:numId w:val="2"/>
        </w:numPr>
      </w:pPr>
      <w:bookmarkStart w:id="16" w:name="_Toc507407601"/>
      <w:bookmarkStart w:id="17" w:name="_Toc333420693"/>
      <w:bookmarkStart w:id="18" w:name="_Toc334000235"/>
      <w:bookmarkStart w:id="19" w:name="_Toc334109630"/>
      <w:r>
        <w:t>Rendus / Livrables</w:t>
      </w:r>
      <w:bookmarkEnd w:id="16"/>
    </w:p>
    <w:p w:rsidR="007657AD" w:rsidRPr="007657AD" w:rsidRDefault="007657AD" w:rsidP="007657AD">
      <w:pPr>
        <w:rPr>
          <w:rFonts w:asciiTheme="minorHAnsi" w:hAnsiTheme="minorHAnsi"/>
        </w:rPr>
      </w:pPr>
      <w:r w:rsidRPr="007657AD">
        <w:rPr>
          <w:rFonts w:asciiTheme="minorHAnsi" w:hAnsiTheme="minorHAnsi"/>
        </w:rPr>
        <w:t>Un rapport d’étude est attendu pour chaque étape.</w:t>
      </w:r>
    </w:p>
    <w:p w:rsidR="007657AD" w:rsidRPr="007657AD" w:rsidRDefault="007657AD" w:rsidP="007657AD">
      <w:pPr>
        <w:rPr>
          <w:rFonts w:asciiTheme="minorHAnsi" w:hAnsiTheme="minorHAnsi"/>
        </w:rPr>
      </w:pPr>
    </w:p>
    <w:p w:rsidR="007657AD" w:rsidRPr="007657AD" w:rsidRDefault="007657AD" w:rsidP="007657AD">
      <w:pPr>
        <w:rPr>
          <w:rFonts w:asciiTheme="minorHAnsi" w:hAnsiTheme="minorHAnsi"/>
        </w:rPr>
      </w:pPr>
      <w:r w:rsidRPr="007657AD">
        <w:rPr>
          <w:rFonts w:asciiTheme="minorHAnsi" w:hAnsiTheme="minorHAnsi"/>
        </w:rPr>
        <w:t>A l’issue de l’étude le prestataire devra fournir à la collectivité :</w:t>
      </w:r>
    </w:p>
    <w:p w:rsidR="007657AD" w:rsidRPr="007657AD" w:rsidRDefault="007657AD" w:rsidP="00602672">
      <w:pPr>
        <w:pStyle w:val="Paragraphedeliste"/>
        <w:numPr>
          <w:ilvl w:val="0"/>
          <w:numId w:val="25"/>
        </w:numPr>
        <w:rPr>
          <w:rFonts w:asciiTheme="minorHAnsi" w:hAnsiTheme="minorHAnsi"/>
        </w:rPr>
      </w:pPr>
      <w:r w:rsidRPr="007657AD">
        <w:rPr>
          <w:rFonts w:asciiTheme="minorHAnsi" w:hAnsiTheme="minorHAnsi"/>
        </w:rPr>
        <w:t>Le budget prévisionnel du projet intégrant :</w:t>
      </w:r>
    </w:p>
    <w:p w:rsidR="007657AD" w:rsidRPr="007657AD" w:rsidRDefault="007657AD" w:rsidP="00602672">
      <w:pPr>
        <w:pStyle w:val="Paragraphedeliste"/>
        <w:numPr>
          <w:ilvl w:val="1"/>
          <w:numId w:val="25"/>
        </w:numPr>
        <w:rPr>
          <w:rFonts w:asciiTheme="minorHAnsi" w:hAnsiTheme="minorHAnsi"/>
        </w:rPr>
      </w:pPr>
      <w:r w:rsidRPr="007657AD">
        <w:rPr>
          <w:rFonts w:asciiTheme="minorHAnsi" w:hAnsiTheme="minorHAnsi"/>
        </w:rPr>
        <w:t>Les investissements à budgéter</w:t>
      </w:r>
    </w:p>
    <w:p w:rsidR="007657AD" w:rsidRPr="007657AD" w:rsidRDefault="007657AD" w:rsidP="00602672">
      <w:pPr>
        <w:pStyle w:val="Paragraphedeliste"/>
        <w:numPr>
          <w:ilvl w:val="1"/>
          <w:numId w:val="25"/>
        </w:numPr>
        <w:rPr>
          <w:rFonts w:asciiTheme="minorHAnsi" w:hAnsiTheme="minorHAnsi"/>
        </w:rPr>
      </w:pPr>
      <w:r w:rsidRPr="007657AD">
        <w:rPr>
          <w:rFonts w:asciiTheme="minorHAnsi" w:hAnsiTheme="minorHAnsi"/>
        </w:rPr>
        <w:t>Le coût de fonctionnement (lors de l’année de mise en œuvre et les 4 - 5 années suivantes)</w:t>
      </w:r>
    </w:p>
    <w:p w:rsidR="007657AD" w:rsidRPr="007657AD" w:rsidRDefault="007657AD" w:rsidP="00602672">
      <w:pPr>
        <w:pStyle w:val="Paragraphedeliste"/>
        <w:numPr>
          <w:ilvl w:val="2"/>
          <w:numId w:val="25"/>
        </w:numPr>
        <w:rPr>
          <w:rFonts w:asciiTheme="minorHAnsi" w:hAnsiTheme="minorHAnsi"/>
        </w:rPr>
      </w:pPr>
      <w:r w:rsidRPr="007657AD">
        <w:rPr>
          <w:rFonts w:asciiTheme="minorHAnsi" w:hAnsiTheme="minorHAnsi"/>
        </w:rPr>
        <w:lastRenderedPageBreak/>
        <w:t>Une estimation chiffrée du gain généré par la baisse de la production d’ordures ménagères résiduelles et l’amélioration de la valorisation</w:t>
      </w:r>
    </w:p>
    <w:p w:rsidR="007657AD" w:rsidRPr="007657AD" w:rsidRDefault="007657AD" w:rsidP="00602672">
      <w:pPr>
        <w:pStyle w:val="Paragraphedeliste"/>
        <w:numPr>
          <w:ilvl w:val="0"/>
          <w:numId w:val="25"/>
        </w:numPr>
        <w:rPr>
          <w:rFonts w:asciiTheme="minorHAnsi" w:hAnsiTheme="minorHAnsi"/>
        </w:rPr>
      </w:pPr>
      <w:r w:rsidRPr="007657AD">
        <w:rPr>
          <w:rFonts w:asciiTheme="minorHAnsi" w:hAnsiTheme="minorHAnsi"/>
        </w:rPr>
        <w:t>Une trame de plan de communication et de concertation</w:t>
      </w:r>
    </w:p>
    <w:p w:rsidR="007657AD" w:rsidRPr="007657AD" w:rsidRDefault="007657AD" w:rsidP="00602672">
      <w:pPr>
        <w:pStyle w:val="Paragraphedeliste"/>
        <w:numPr>
          <w:ilvl w:val="0"/>
          <w:numId w:val="25"/>
        </w:numPr>
        <w:rPr>
          <w:rFonts w:asciiTheme="minorHAnsi" w:hAnsiTheme="minorHAnsi"/>
        </w:rPr>
      </w:pPr>
      <w:r w:rsidRPr="007657AD">
        <w:rPr>
          <w:rFonts w:asciiTheme="minorHAnsi" w:hAnsiTheme="minorHAnsi"/>
        </w:rPr>
        <w:t>Un programme de formation à destination des agents de la collectivité</w:t>
      </w:r>
    </w:p>
    <w:p w:rsidR="007657AD" w:rsidRPr="007657AD" w:rsidRDefault="007657AD" w:rsidP="00602672">
      <w:pPr>
        <w:pStyle w:val="Paragraphedeliste"/>
        <w:numPr>
          <w:ilvl w:val="0"/>
          <w:numId w:val="25"/>
        </w:numPr>
        <w:rPr>
          <w:rFonts w:asciiTheme="minorHAnsi" w:hAnsiTheme="minorHAnsi"/>
        </w:rPr>
      </w:pPr>
      <w:r w:rsidRPr="007657AD">
        <w:rPr>
          <w:rFonts w:asciiTheme="minorHAnsi" w:hAnsiTheme="minorHAnsi"/>
        </w:rPr>
        <w:t>Un ou des zone(s) pour la phase test</w:t>
      </w:r>
    </w:p>
    <w:p w:rsidR="007657AD" w:rsidRPr="007657AD" w:rsidRDefault="007657AD" w:rsidP="00602672">
      <w:pPr>
        <w:pStyle w:val="Paragraphedeliste"/>
        <w:numPr>
          <w:ilvl w:val="0"/>
          <w:numId w:val="25"/>
        </w:numPr>
        <w:rPr>
          <w:rFonts w:asciiTheme="minorHAnsi" w:hAnsiTheme="minorHAnsi"/>
        </w:rPr>
      </w:pPr>
      <w:r w:rsidRPr="007657AD">
        <w:rPr>
          <w:rFonts w:asciiTheme="minorHAnsi" w:hAnsiTheme="minorHAnsi"/>
        </w:rPr>
        <w:t>Un plan d’actions détaillé (qui précise notamment pour chaque action, le délai de mise en œuvre, la ou les personne(s) qui en a(ont) la charge)</w:t>
      </w:r>
    </w:p>
    <w:p w:rsidR="007657AD" w:rsidRPr="007657AD" w:rsidRDefault="007657AD" w:rsidP="00602672">
      <w:pPr>
        <w:pStyle w:val="Paragraphedeliste"/>
        <w:numPr>
          <w:ilvl w:val="0"/>
          <w:numId w:val="25"/>
        </w:numPr>
        <w:rPr>
          <w:rFonts w:asciiTheme="minorHAnsi" w:hAnsiTheme="minorHAnsi"/>
        </w:rPr>
      </w:pPr>
      <w:r w:rsidRPr="007657AD">
        <w:rPr>
          <w:rFonts w:asciiTheme="minorHAnsi" w:hAnsiTheme="minorHAnsi"/>
        </w:rPr>
        <w:t>Le nouveau schéma de collecte des déchets ménagers et assimilés envisagé</w:t>
      </w:r>
    </w:p>
    <w:p w:rsidR="007657AD" w:rsidRPr="007657AD" w:rsidRDefault="007657AD" w:rsidP="00602672">
      <w:pPr>
        <w:pStyle w:val="Paragraphedeliste"/>
        <w:numPr>
          <w:ilvl w:val="0"/>
          <w:numId w:val="25"/>
        </w:numPr>
        <w:rPr>
          <w:rFonts w:asciiTheme="minorHAnsi" w:hAnsiTheme="minorHAnsi"/>
        </w:rPr>
      </w:pPr>
      <w:r w:rsidRPr="007657AD">
        <w:rPr>
          <w:rFonts w:asciiTheme="minorHAnsi" w:hAnsiTheme="minorHAnsi"/>
        </w:rPr>
        <w:t>Un outil de suivi des indicateurs de performance aisément utilisable par la collectivité</w:t>
      </w:r>
    </w:p>
    <w:p w:rsidR="007657AD" w:rsidRPr="007657AD" w:rsidRDefault="007657AD" w:rsidP="007657AD">
      <w:pPr>
        <w:rPr>
          <w:rFonts w:asciiTheme="minorHAnsi" w:hAnsiTheme="minorHAnsi"/>
        </w:rPr>
      </w:pPr>
    </w:p>
    <w:p w:rsidR="007657AD" w:rsidRPr="007657AD" w:rsidRDefault="007657AD" w:rsidP="007657AD">
      <w:pPr>
        <w:rPr>
          <w:rFonts w:asciiTheme="minorHAnsi" w:hAnsiTheme="minorHAnsi"/>
        </w:rPr>
      </w:pPr>
      <w:r w:rsidRPr="007657AD">
        <w:rPr>
          <w:rFonts w:asciiTheme="minorHAnsi" w:hAnsiTheme="minorHAnsi"/>
        </w:rPr>
        <w:t xml:space="preserve">Le prestataire devra saisir les résultats de l'étude dans DIAGADEME (site internet : </w:t>
      </w:r>
      <w:hyperlink r:id="rId13" w:history="1">
        <w:r w:rsidRPr="007657AD">
          <w:rPr>
            <w:rFonts w:asciiTheme="minorHAnsi" w:hAnsiTheme="minorHAnsi"/>
          </w:rPr>
          <w:t>www.diagademe.fr</w:t>
        </w:r>
      </w:hyperlink>
      <w:r w:rsidRPr="007657AD">
        <w:rPr>
          <w:rFonts w:asciiTheme="minorHAnsi" w:hAnsiTheme="minorHAnsi"/>
        </w:rPr>
        <w:t>) et les faire valider par la collectivité et l'ADEME.</w:t>
      </w:r>
    </w:p>
    <w:p w:rsidR="007657AD" w:rsidRDefault="007657AD" w:rsidP="007657AD">
      <w:pPr>
        <w:pStyle w:val="Titre1"/>
      </w:pPr>
      <w:bookmarkStart w:id="20" w:name="_Toc507407602"/>
      <w:r w:rsidRPr="007657AD">
        <w:rPr>
          <w:rFonts w:asciiTheme="minorHAnsi" w:hAnsiTheme="minorHAnsi"/>
        </w:rPr>
        <w:t>Comité</w:t>
      </w:r>
      <w:r>
        <w:t xml:space="preserve"> de pilotage</w:t>
      </w:r>
      <w:bookmarkEnd w:id="20"/>
    </w:p>
    <w:p w:rsidR="007657AD" w:rsidRDefault="007657AD" w:rsidP="007657AD">
      <w:r>
        <w:t>L’ADEME préconise que le comité de pilotage en charge du suivi de la présente étude intègre également comme membre un représentant de la collecte (un ripeur par exemple) et un groupe d’usagers (ménages et professionnels) ; l’objectif étant de créer les conditions de l’adhésion des usagers au dispositif choisi par la collectivité. Si la collectivité a délégué sa compétence traitement à un syndicat de traitement de déchets, il est préconisé d’associer ce dernier aux réflexions et donc que le syndicat de traitement soit membre du comité de pilotage.</w:t>
      </w:r>
    </w:p>
    <w:p w:rsidR="00B64768" w:rsidRPr="009205F9" w:rsidRDefault="00B64768" w:rsidP="00602672">
      <w:pPr>
        <w:pStyle w:val="Titre1"/>
        <w:numPr>
          <w:ilvl w:val="0"/>
          <w:numId w:val="2"/>
        </w:numPr>
      </w:pPr>
      <w:bookmarkStart w:id="21" w:name="_Toc507407603"/>
      <w:r w:rsidRPr="009205F9">
        <w:t>RESTITUTION ET CONFIDENTIALITE</w:t>
      </w:r>
      <w:bookmarkEnd w:id="17"/>
      <w:bookmarkEnd w:id="18"/>
      <w:bookmarkEnd w:id="19"/>
      <w:bookmarkEnd w:id="21"/>
    </w:p>
    <w:p w:rsidR="00B64768" w:rsidRPr="00992648" w:rsidRDefault="00B64768" w:rsidP="007657AD">
      <w:pPr>
        <w:rPr>
          <w:rFonts w:asciiTheme="minorHAnsi" w:hAnsiTheme="minorHAnsi"/>
        </w:rPr>
      </w:pPr>
      <w:r w:rsidRPr="00992648">
        <w:rPr>
          <w:rFonts w:asciiTheme="minorHAnsi" w:hAnsiTheme="minorHAnsi"/>
        </w:rPr>
        <w:t xml:space="preserve">A l’issue de la mission, le prestataire transmet le résultat de l’étude par l’utilisation du portail Internet </w:t>
      </w:r>
      <w:r w:rsidRPr="00992648">
        <w:rPr>
          <w:rFonts w:asciiTheme="minorHAnsi" w:hAnsiTheme="minorHAnsi"/>
          <w:b/>
        </w:rPr>
        <w:t>DIAGADEME</w:t>
      </w:r>
      <w:r w:rsidRPr="00992648">
        <w:rPr>
          <w:rFonts w:asciiTheme="minorHAnsi" w:hAnsiTheme="minorHAnsi"/>
        </w:rPr>
        <w:t xml:space="preserve"> (</w:t>
      </w:r>
      <w:hyperlink r:id="rId14" w:history="1">
        <w:r w:rsidRPr="00992648">
          <w:rPr>
            <w:rStyle w:val="Lienhypertexte"/>
            <w:rFonts w:asciiTheme="minorHAnsi" w:hAnsiTheme="minorHAnsi"/>
          </w:rPr>
          <w:t>www.diagademe.fr</w:t>
        </w:r>
      </w:hyperlink>
      <w:r w:rsidR="00DA7287" w:rsidRPr="00992648">
        <w:rPr>
          <w:rFonts w:asciiTheme="minorHAnsi" w:hAnsiTheme="minorHAnsi"/>
        </w:rPr>
        <w:t xml:space="preserve">) </w:t>
      </w:r>
      <w:r w:rsidRPr="00992648">
        <w:rPr>
          <w:rFonts w:asciiTheme="minorHAnsi" w:hAnsiTheme="minorHAnsi"/>
        </w:rPr>
        <w:t>comprenant :</w:t>
      </w:r>
    </w:p>
    <w:p w:rsidR="00B64768" w:rsidRPr="00992648" w:rsidRDefault="00B64768" w:rsidP="00602672">
      <w:pPr>
        <w:pStyle w:val="Paragraphedeliste"/>
        <w:numPr>
          <w:ilvl w:val="0"/>
          <w:numId w:val="9"/>
        </w:numPr>
        <w:rPr>
          <w:rFonts w:asciiTheme="minorHAnsi" w:hAnsiTheme="minorHAnsi"/>
        </w:rPr>
      </w:pPr>
      <w:r w:rsidRPr="00992648">
        <w:rPr>
          <w:rFonts w:asciiTheme="minorHAnsi" w:hAnsiTheme="minorHAnsi"/>
        </w:rPr>
        <w:t>Le rapport final d’étude</w:t>
      </w:r>
    </w:p>
    <w:p w:rsidR="00B64768" w:rsidRPr="00992648" w:rsidRDefault="00B64768" w:rsidP="00602672">
      <w:pPr>
        <w:pStyle w:val="Paragraphedeliste"/>
        <w:numPr>
          <w:ilvl w:val="0"/>
          <w:numId w:val="9"/>
        </w:numPr>
        <w:rPr>
          <w:rFonts w:asciiTheme="minorHAnsi" w:hAnsiTheme="minorHAnsi"/>
        </w:rPr>
      </w:pPr>
      <w:r w:rsidRPr="00992648">
        <w:rPr>
          <w:rFonts w:asciiTheme="minorHAnsi" w:hAnsiTheme="minorHAnsi"/>
        </w:rPr>
        <w:t>Une fiche de synthèse (figurant en annexe du présent cahier des charges).</w:t>
      </w:r>
    </w:p>
    <w:p w:rsidR="00B64768" w:rsidRPr="00992648" w:rsidRDefault="00B64768" w:rsidP="007657AD">
      <w:pPr>
        <w:rPr>
          <w:rFonts w:asciiTheme="minorHAnsi" w:hAnsiTheme="minorHAnsi"/>
        </w:rPr>
      </w:pPr>
      <w:r w:rsidRPr="00992648">
        <w:rPr>
          <w:rFonts w:asciiTheme="minorHAnsi" w:hAnsiTheme="minorHAnsi"/>
        </w:rPr>
        <w:sym w:font="Wingdings" w:char="F0E8"/>
      </w:r>
      <w:r w:rsidRPr="00992648">
        <w:rPr>
          <w:rFonts w:asciiTheme="minorHAnsi" w:hAnsiTheme="minorHAnsi"/>
        </w:rPr>
        <w:t xml:space="preserve"> cf. « Préambule – Le suivi technique de l’ADEME »</w:t>
      </w:r>
    </w:p>
    <w:p w:rsidR="00992648" w:rsidRPr="00992648" w:rsidRDefault="00B64768" w:rsidP="007657AD">
      <w:pPr>
        <w:rPr>
          <w:rFonts w:asciiTheme="minorHAnsi" w:hAnsiTheme="minorHAnsi"/>
        </w:rPr>
      </w:pPr>
      <w:r w:rsidRPr="00992648">
        <w:rPr>
          <w:rFonts w:asciiTheme="minorHAnsi" w:hAnsiTheme="minorHAnsi"/>
        </w:rPr>
        <w:t>La confidentialité des ces informations est garantie par l’utilisation des codes d’accès délivrés par l’ADEME qui vous sont strictement personnels.</w:t>
      </w:r>
    </w:p>
    <w:p w:rsidR="00B64768" w:rsidRPr="009205F9" w:rsidRDefault="00B64768" w:rsidP="00602672">
      <w:pPr>
        <w:pStyle w:val="Titre1"/>
        <w:numPr>
          <w:ilvl w:val="0"/>
          <w:numId w:val="2"/>
        </w:numPr>
      </w:pPr>
      <w:bookmarkStart w:id="22" w:name="_Toc284495310"/>
      <w:bookmarkStart w:id="23" w:name="_Toc333420694"/>
      <w:bookmarkStart w:id="24" w:name="_Toc334000236"/>
      <w:bookmarkStart w:id="25" w:name="_Toc334109631"/>
      <w:bookmarkStart w:id="26" w:name="_Toc507407604"/>
      <w:r w:rsidRPr="009205F9">
        <w:t xml:space="preserve">COÛT </w:t>
      </w:r>
      <w:bookmarkEnd w:id="22"/>
      <w:bookmarkEnd w:id="23"/>
      <w:bookmarkEnd w:id="24"/>
      <w:bookmarkEnd w:id="25"/>
      <w:r>
        <w:t>DE LA MISSION</w:t>
      </w:r>
      <w:bookmarkEnd w:id="26"/>
    </w:p>
    <w:p w:rsidR="00B64768" w:rsidRPr="009205F9" w:rsidRDefault="00B64768" w:rsidP="007657AD">
      <w:r w:rsidRPr="009205F9">
        <w:t>Le prestataire établira un devis détaillé correspondant au coût de la prestation dans son ensemble, faisant apparaître le nombre de journées de travail, les coûts journaliers du ou des intervenants ainsi que les frais annexes.</w:t>
      </w:r>
    </w:p>
    <w:p w:rsidR="00B64768" w:rsidRPr="009205F9" w:rsidRDefault="00B64768" w:rsidP="007657AD"/>
    <w:p w:rsidR="00B64768" w:rsidRPr="009205F9" w:rsidRDefault="00B64768" w:rsidP="007657AD">
      <w:r w:rsidRPr="009205F9">
        <w:t>Le montant ainsi proposé inclura au minimum l’ensemble de la prestation telle que définie dans le présent cahier des charges.</w:t>
      </w:r>
    </w:p>
    <w:p w:rsidR="00B64768" w:rsidRPr="009205F9" w:rsidRDefault="00B64768" w:rsidP="00602672">
      <w:pPr>
        <w:pStyle w:val="Titre1"/>
        <w:numPr>
          <w:ilvl w:val="0"/>
          <w:numId w:val="2"/>
        </w:numPr>
      </w:pPr>
      <w:bookmarkStart w:id="27" w:name="_Toc284495311"/>
      <w:bookmarkStart w:id="28" w:name="_Toc333420695"/>
      <w:bookmarkStart w:id="29" w:name="_Toc334000237"/>
      <w:bookmarkStart w:id="30" w:name="_Toc334109632"/>
      <w:bookmarkStart w:id="31" w:name="_Toc507407605"/>
      <w:r w:rsidRPr="009205F9">
        <w:t>CONTRÔLE</w:t>
      </w:r>
      <w:bookmarkEnd w:id="27"/>
      <w:bookmarkEnd w:id="28"/>
      <w:bookmarkEnd w:id="29"/>
      <w:bookmarkEnd w:id="30"/>
      <w:bookmarkEnd w:id="31"/>
    </w:p>
    <w:p w:rsidR="00B64768" w:rsidRPr="009205F9" w:rsidRDefault="00B64768" w:rsidP="007657AD">
      <w:r w:rsidRPr="009205F9">
        <w:t>L</w:t>
      </w:r>
      <w:r>
        <w:t>a mission</w:t>
      </w:r>
      <w:r w:rsidRPr="009205F9">
        <w:t>, une fois réalisé</w:t>
      </w:r>
      <w:r>
        <w:t>e</w:t>
      </w:r>
      <w:r w:rsidRPr="009205F9">
        <w:t xml:space="preserv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rsidR="00B64768" w:rsidRPr="0044591E" w:rsidRDefault="00B64768" w:rsidP="007657AD">
      <w:pPr>
        <w:sectPr w:rsidR="00B64768" w:rsidRPr="0044591E" w:rsidSect="00D871CB">
          <w:pgSz w:w="11906" w:h="16838"/>
          <w:pgMar w:top="902" w:right="1418" w:bottom="1418" w:left="1418" w:header="709" w:footer="709" w:gutter="0"/>
          <w:cols w:space="708"/>
          <w:docGrid w:linePitch="360"/>
          <w15:footnoteColumns w:val="1"/>
        </w:sectPr>
      </w:pPr>
    </w:p>
    <w:p w:rsidR="00E506E1" w:rsidRDefault="00E506E1" w:rsidP="007657AD"/>
    <w:p w:rsidR="00734EFD" w:rsidRPr="000D2121" w:rsidRDefault="00734EFD" w:rsidP="007657AD"/>
    <w:p w:rsidR="00E506E1" w:rsidRPr="00E506E1" w:rsidRDefault="00E506E1" w:rsidP="007657AD">
      <w:pPr>
        <w:pStyle w:val="QuatrimedecouvertureTitreAdeme"/>
      </w:pPr>
      <w:r w:rsidRPr="00E506E1">
        <w:t>L’ADEME en bref</w:t>
      </w:r>
    </w:p>
    <w:p w:rsidR="00E506E1" w:rsidRPr="00E506E1" w:rsidRDefault="00E506E1" w:rsidP="007657AD">
      <w:pPr>
        <w:pStyle w:val="QuatrimedecouvertureTexteAdeme"/>
      </w:pPr>
      <w:r w:rsidRPr="00E506E1">
        <w:t>L’Agence de l’Environnement et de la Maîtrise de l’Energie (ADEME) participe à la mise en œuvre des politiques publiques dans les domaines de l’environnement, de l’énergie et du développement durable. Afin de leur permettre de progresser dans leur démarche environnementale, l’agence met à disposition des entreprises, des collectivités locales, des pouvoirs publics et du grand public, ses capacités d’expertise et de conseil. Elle aide en outre au financement de projets, de la recherche à la mise en œuvre et ce, dans les domaines suivants : la gestion des déchets, la préservation des sols, l’efficacité énergétique et les énergies renouvelables, la qualité de l’air et la lutte contre le bruit.</w:t>
      </w:r>
    </w:p>
    <w:p w:rsidR="00E506E1" w:rsidRDefault="00455B03" w:rsidP="007657AD">
      <w:pPr>
        <w:pStyle w:val="QuatrimedecouvertureTexteAdeme"/>
      </w:pPr>
      <w:r>
        <w:drawing>
          <wp:anchor distT="0" distB="0" distL="114300" distR="114300" simplePos="0" relativeHeight="251658240" behindDoc="1" locked="0" layoutInCell="1" allowOverlap="1">
            <wp:simplePos x="0" y="0"/>
            <wp:positionH relativeFrom="column">
              <wp:posOffset>-504190</wp:posOffset>
            </wp:positionH>
            <wp:positionV relativeFrom="page">
              <wp:posOffset>-73660</wp:posOffset>
            </wp:positionV>
            <wp:extent cx="7640320" cy="10817860"/>
            <wp:effectExtent l="0" t="0" r="0" b="0"/>
            <wp:wrapNone/>
            <wp:docPr id="6" name="Image 6" descr="4e-couverture-diagad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e-couverture-diagadem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40320" cy="1081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506E1" w:rsidRPr="00E506E1">
        <w:t xml:space="preserve">L’ADEME est un établissement public sous la tutelle du ministère de l’écologie, du développement durable et de l’énergie et du ministère de l’enseignement supérieur et de la recherche. </w:t>
      </w:r>
    </w:p>
    <w:sectPr w:rsidR="00E506E1" w:rsidSect="00757DE9">
      <w:headerReference w:type="even" r:id="rId16"/>
      <w:headerReference w:type="default" r:id="rId17"/>
      <w:footerReference w:type="default" r:id="rId18"/>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94C" w:rsidRDefault="00D6294C" w:rsidP="007657AD">
      <w:r>
        <w:separator/>
      </w:r>
    </w:p>
    <w:p w:rsidR="00D6294C" w:rsidRDefault="00D6294C" w:rsidP="007657AD"/>
    <w:p w:rsidR="00D6294C" w:rsidRDefault="00D6294C" w:rsidP="007657AD"/>
    <w:p w:rsidR="00D6294C" w:rsidRDefault="00D6294C" w:rsidP="007657AD"/>
    <w:p w:rsidR="00D6294C" w:rsidRDefault="00D6294C" w:rsidP="007657AD"/>
    <w:p w:rsidR="00D6294C" w:rsidRDefault="00D6294C" w:rsidP="007657AD"/>
    <w:p w:rsidR="00D6294C" w:rsidRDefault="00D6294C" w:rsidP="007657AD"/>
    <w:p w:rsidR="00D6294C" w:rsidRDefault="00D6294C" w:rsidP="007657AD"/>
    <w:p w:rsidR="00D6294C" w:rsidRDefault="00D6294C" w:rsidP="007657AD"/>
    <w:p w:rsidR="00D6294C" w:rsidRDefault="00D6294C" w:rsidP="007657AD"/>
  </w:endnote>
  <w:endnote w:type="continuationSeparator" w:id="0">
    <w:p w:rsidR="00D6294C" w:rsidRDefault="00D6294C" w:rsidP="007657AD">
      <w:r>
        <w:continuationSeparator/>
      </w:r>
    </w:p>
    <w:p w:rsidR="00D6294C" w:rsidRDefault="00D6294C" w:rsidP="007657AD"/>
    <w:p w:rsidR="00D6294C" w:rsidRDefault="00D6294C" w:rsidP="007657AD"/>
    <w:p w:rsidR="00D6294C" w:rsidRDefault="00D6294C" w:rsidP="007657AD"/>
    <w:p w:rsidR="00D6294C" w:rsidRDefault="00D6294C" w:rsidP="007657AD"/>
    <w:p w:rsidR="00D6294C" w:rsidRDefault="00D6294C" w:rsidP="007657AD"/>
    <w:p w:rsidR="00D6294C" w:rsidRDefault="00D6294C" w:rsidP="007657AD"/>
    <w:p w:rsidR="00D6294C" w:rsidRDefault="00D6294C" w:rsidP="007657AD"/>
    <w:p w:rsidR="00D6294C" w:rsidRDefault="00D6294C" w:rsidP="007657AD"/>
    <w:p w:rsidR="00D6294C" w:rsidRDefault="00D6294C" w:rsidP="00765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7AD" w:rsidRDefault="007657AD">
    <w:pPr>
      <w:pStyle w:val="Pieddepage"/>
    </w:pPr>
    <w:r w:rsidRPr="003E4CA6">
      <w:rPr>
        <w:szCs w:val="18"/>
      </w:rPr>
      <w:t>[</w:t>
    </w:r>
    <w:r w:rsidRPr="003E4CA6">
      <w:rPr>
        <w:bCs/>
        <w:szCs w:val="18"/>
      </w:rPr>
      <w:fldChar w:fldCharType="begin"/>
    </w:r>
    <w:r w:rsidRPr="003E4CA6">
      <w:rPr>
        <w:bCs/>
        <w:szCs w:val="18"/>
      </w:rPr>
      <w:instrText>PAGE</w:instrText>
    </w:r>
    <w:r w:rsidRPr="003E4CA6">
      <w:rPr>
        <w:bCs/>
        <w:szCs w:val="18"/>
      </w:rPr>
      <w:fldChar w:fldCharType="separate"/>
    </w:r>
    <w:r w:rsidR="00A85E04">
      <w:rPr>
        <w:bCs/>
        <w:szCs w:val="18"/>
      </w:rPr>
      <w:t>11</w:t>
    </w:r>
    <w:r w:rsidRPr="003E4CA6">
      <w:rPr>
        <w:bCs/>
        <w:szCs w:val="18"/>
      </w:rPr>
      <w:fldChar w:fldCharType="end"/>
    </w:r>
    <w:r w:rsidRPr="003E4CA6">
      <w:rPr>
        <w:bCs/>
        <w:szCs w:val="18"/>
      </w:rPr>
      <w:t>/</w:t>
    </w:r>
    <w:r w:rsidRPr="003E4CA6">
      <w:rPr>
        <w:bCs/>
        <w:szCs w:val="18"/>
      </w:rPr>
      <w:fldChar w:fldCharType="begin"/>
    </w:r>
    <w:r w:rsidRPr="003E4CA6">
      <w:rPr>
        <w:bCs/>
        <w:szCs w:val="18"/>
      </w:rPr>
      <w:instrText>NUMPAGES</w:instrText>
    </w:r>
    <w:r w:rsidRPr="003E4CA6">
      <w:rPr>
        <w:bCs/>
        <w:szCs w:val="18"/>
      </w:rPr>
      <w:fldChar w:fldCharType="separate"/>
    </w:r>
    <w:r w:rsidR="00A85E04">
      <w:rPr>
        <w:bCs/>
        <w:szCs w:val="18"/>
      </w:rPr>
      <w:t>14</w:t>
    </w:r>
    <w:r w:rsidRPr="003E4CA6">
      <w:rPr>
        <w:bCs/>
        <w:szCs w:val="18"/>
      </w:rPr>
      <w:fldChar w:fldCharType="end"/>
    </w:r>
    <w:r w:rsidRPr="003E4CA6">
      <w:rPr>
        <w:szCs w:val="18"/>
      </w:rPr>
      <w:t>]</w:t>
    </w:r>
    <w:r>
      <w:rPr>
        <w:szCs w:val="18"/>
      </w:rPr>
      <w:t xml:space="preserve"> S</w:t>
    </w:r>
    <w:r w:rsidRPr="00FD7EE1">
      <w:t xml:space="preserve">tructure </w:t>
    </w:r>
    <w:r>
      <w:t xml:space="preserve">cdc Etude préalable à l’instauration </w:t>
    </w:r>
    <w:r w:rsidRPr="00FD7EE1">
      <w:t xml:space="preserve">tri à la source des </w:t>
    </w:r>
    <w:r>
      <w:t>b</w:t>
    </w:r>
    <w:r w:rsidRPr="00FD7EE1">
      <w:t>iodéchets</w:t>
    </w:r>
    <w:r>
      <w:tab/>
    </w:r>
    <w:r>
      <w:tab/>
    </w:r>
    <w:r>
      <w:tab/>
    </w:r>
    <w:r>
      <w:tab/>
    </w:r>
    <w:r w:rsidRPr="00FD7EE1">
      <w:tab/>
    </w:r>
    <w:r>
      <w:t>V</w:t>
    </w:r>
    <w:r w:rsidRPr="002466FB">
      <w:t xml:space="preserve">ersion </w:t>
    </w:r>
    <w:r>
      <w:t>du 26/02/2018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EC5" w:rsidRDefault="00CB7EC5" w:rsidP="007657AD">
    <w:pPr>
      <w:pStyle w:val="Pieddepage"/>
    </w:pPr>
    <w:r w:rsidRPr="003E4CA6">
      <w:rPr>
        <w:szCs w:val="18"/>
      </w:rPr>
      <w:t>[</w:t>
    </w:r>
    <w:r w:rsidRPr="003E4CA6">
      <w:rPr>
        <w:bCs/>
        <w:szCs w:val="18"/>
      </w:rPr>
      <w:fldChar w:fldCharType="begin"/>
    </w:r>
    <w:r w:rsidRPr="003E4CA6">
      <w:rPr>
        <w:bCs/>
        <w:szCs w:val="18"/>
      </w:rPr>
      <w:instrText>PAGE</w:instrText>
    </w:r>
    <w:r w:rsidRPr="003E4CA6">
      <w:rPr>
        <w:bCs/>
        <w:szCs w:val="18"/>
      </w:rPr>
      <w:fldChar w:fldCharType="separate"/>
    </w:r>
    <w:r w:rsidR="00A40BF0">
      <w:rPr>
        <w:bCs/>
        <w:szCs w:val="18"/>
      </w:rPr>
      <w:t>10</w:t>
    </w:r>
    <w:r w:rsidRPr="003E4CA6">
      <w:rPr>
        <w:bCs/>
        <w:szCs w:val="18"/>
      </w:rPr>
      <w:fldChar w:fldCharType="end"/>
    </w:r>
    <w:r w:rsidRPr="003E4CA6">
      <w:rPr>
        <w:bCs/>
        <w:szCs w:val="18"/>
      </w:rPr>
      <w:t>/</w:t>
    </w:r>
    <w:r w:rsidRPr="003E4CA6">
      <w:rPr>
        <w:bCs/>
        <w:szCs w:val="18"/>
      </w:rPr>
      <w:fldChar w:fldCharType="begin"/>
    </w:r>
    <w:r w:rsidRPr="003E4CA6">
      <w:rPr>
        <w:bCs/>
        <w:szCs w:val="18"/>
      </w:rPr>
      <w:instrText>NUMPAGES</w:instrText>
    </w:r>
    <w:r w:rsidRPr="003E4CA6">
      <w:rPr>
        <w:bCs/>
        <w:szCs w:val="18"/>
      </w:rPr>
      <w:fldChar w:fldCharType="separate"/>
    </w:r>
    <w:r w:rsidR="00A40BF0">
      <w:rPr>
        <w:bCs/>
        <w:szCs w:val="18"/>
      </w:rPr>
      <w:t>10</w:t>
    </w:r>
    <w:r w:rsidRPr="003E4CA6">
      <w:rPr>
        <w:bCs/>
        <w:szCs w:val="18"/>
      </w:rPr>
      <w:fldChar w:fldCharType="end"/>
    </w:r>
    <w:r w:rsidRPr="003E4CA6">
      <w:rPr>
        <w:szCs w:val="18"/>
      </w:rPr>
      <w:t>]</w:t>
    </w:r>
    <w:r w:rsidR="00FD7EE1">
      <w:rPr>
        <w:szCs w:val="18"/>
      </w:rPr>
      <w:t xml:space="preserve"> S</w:t>
    </w:r>
    <w:r w:rsidR="00FD7EE1" w:rsidRPr="00FD7EE1">
      <w:t xml:space="preserve">tructure </w:t>
    </w:r>
    <w:r w:rsidR="00FD7EE1">
      <w:t xml:space="preserve">cdc Etude préalable à l’instauration </w:t>
    </w:r>
    <w:r w:rsidR="00FD7EE1" w:rsidRPr="00FD7EE1">
      <w:t xml:space="preserve">tri à la source des </w:t>
    </w:r>
    <w:r w:rsidR="00FD7EE1">
      <w:t>b</w:t>
    </w:r>
    <w:r w:rsidR="00FD7EE1" w:rsidRPr="00FD7EE1">
      <w:t>iodéchets</w:t>
    </w:r>
    <w:r w:rsidRPr="00FD7EE1">
      <w:tab/>
    </w:r>
    <w:r>
      <w:t>V</w:t>
    </w:r>
    <w:r w:rsidRPr="002466FB">
      <w:t xml:space="preserve">ersion </w:t>
    </w:r>
    <w:r w:rsidR="00FD7EE1">
      <w:t>du 26</w:t>
    </w:r>
    <w:r>
      <w:t>/</w:t>
    </w:r>
    <w:r w:rsidR="00FD7EE1">
      <w:t>02</w:t>
    </w:r>
    <w:r>
      <w:t>/201</w:t>
    </w:r>
    <w:r w:rsidR="00FD7EE1">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EC5" w:rsidRPr="00FD6816" w:rsidRDefault="00CB7EC5" w:rsidP="007657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94C" w:rsidRDefault="00D6294C" w:rsidP="007657AD">
      <w:r>
        <w:separator/>
      </w:r>
    </w:p>
  </w:footnote>
  <w:footnote w:type="continuationSeparator" w:id="0">
    <w:p w:rsidR="00D6294C" w:rsidRDefault="00D6294C" w:rsidP="007657AD">
      <w:r>
        <w:continuationSeparator/>
      </w:r>
    </w:p>
    <w:p w:rsidR="00D6294C" w:rsidRDefault="00D6294C" w:rsidP="007657AD"/>
    <w:p w:rsidR="00D6294C" w:rsidRDefault="00D6294C" w:rsidP="007657AD"/>
    <w:p w:rsidR="00D6294C" w:rsidRDefault="00D6294C" w:rsidP="007657AD"/>
    <w:p w:rsidR="00D6294C" w:rsidRDefault="00D6294C" w:rsidP="007657AD"/>
    <w:p w:rsidR="00D6294C" w:rsidRDefault="00D6294C" w:rsidP="007657AD"/>
    <w:p w:rsidR="00D6294C" w:rsidRDefault="00D6294C" w:rsidP="007657AD"/>
    <w:p w:rsidR="00D6294C" w:rsidRDefault="00D6294C" w:rsidP="007657AD"/>
    <w:p w:rsidR="00D6294C" w:rsidRDefault="00D6294C" w:rsidP="007657AD"/>
    <w:p w:rsidR="00D6294C" w:rsidRDefault="00D6294C" w:rsidP="007657AD"/>
  </w:footnote>
  <w:footnote w:id="1">
    <w:p w:rsidR="00B933AE" w:rsidRDefault="00B933AE" w:rsidP="007657AD">
      <w:pPr>
        <w:pStyle w:val="Notedebasdepage"/>
      </w:pPr>
      <w:r>
        <w:rPr>
          <w:rStyle w:val="Appelnotedebasdep"/>
        </w:rPr>
        <w:footnoteRef/>
      </w:r>
      <w:r>
        <w:t xml:space="preserve"> </w:t>
      </w:r>
      <w:r w:rsidR="00BF4FC1" w:rsidRPr="00520DF4">
        <w:t>Les collectivités ayant instaurées une tarification incitative constatent en moyenne une réduction de 41 % de la production d’OMR, une augmentation de 40 % de la collecte des recyclables et au global une baisse de 8 % de la production de déchets ménagers et assimilés.</w:t>
      </w:r>
    </w:p>
  </w:footnote>
  <w:footnote w:id="2">
    <w:p w:rsidR="00BF4FC1" w:rsidRPr="007657AD" w:rsidRDefault="00BF4FC1" w:rsidP="007657AD">
      <w:pPr>
        <w:pStyle w:val="Notedebasdepage"/>
      </w:pPr>
      <w:r w:rsidRPr="00A035F3">
        <w:rPr>
          <w:rStyle w:val="Appelnotedebasdep"/>
        </w:rPr>
        <w:footnoteRef/>
      </w:r>
      <w:r w:rsidRPr="00A035F3">
        <w:t xml:space="preserve"> </w:t>
      </w:r>
      <w:r w:rsidRPr="007657AD">
        <w:t>La communication et la concertation ne sont pas à négliger et font partie intégrante du nouveau dispositif proposé ; afin d’une part d’informer les usagers potentiels du service, de co-construire le dispositif pour s’assurer qu’il réponde au(x) besoin(s) des citoyens et des professionnels et d’autre part d’éviter un blocage issu de l’absence de dialogue.</w:t>
      </w:r>
    </w:p>
  </w:footnote>
  <w:footnote w:id="3">
    <w:p w:rsidR="00BF4FC1" w:rsidRPr="007657AD" w:rsidRDefault="00BF4FC1" w:rsidP="007657AD">
      <w:pPr>
        <w:pStyle w:val="Notedebasdepage"/>
      </w:pPr>
      <w:r w:rsidRPr="007657AD">
        <w:rPr>
          <w:rStyle w:val="Appelnotedebasdep"/>
          <w:i w:val="0"/>
        </w:rPr>
        <w:footnoteRef/>
      </w:r>
      <w:r w:rsidRPr="007657AD">
        <w:t xml:space="preserve"> Caisse Nationale de l’Assurance Maladie des Travailleurs Salariés</w:t>
      </w:r>
    </w:p>
  </w:footnote>
  <w:footnote w:id="4">
    <w:p w:rsidR="00BF4FC1" w:rsidRDefault="00BF4FC1" w:rsidP="007657AD">
      <w:pPr>
        <w:pStyle w:val="Notedebasdepage"/>
      </w:pPr>
      <w:r w:rsidRPr="007657AD">
        <w:rPr>
          <w:rStyle w:val="Appelnotedebasdep"/>
          <w:i w:val="0"/>
        </w:rPr>
        <w:footnoteRef/>
      </w:r>
      <w:r w:rsidRPr="007657AD">
        <w:t xml:space="preserve"> Installations classées pour la Protection de l’Environnement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EC5" w:rsidRDefault="00CB7EC5" w:rsidP="007657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EC5" w:rsidRDefault="00CB7EC5" w:rsidP="007657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7"/>
    <w:lvl w:ilvl="0">
      <w:start w:val="15"/>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7"/>
    <w:multiLevelType w:val="singleLevel"/>
    <w:tmpl w:val="00000007"/>
    <w:name w:val="WW8Num8"/>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B0E463F"/>
    <w:multiLevelType w:val="hybridMultilevel"/>
    <w:tmpl w:val="E83CEE58"/>
    <w:lvl w:ilvl="0" w:tplc="AE14C5E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7677E"/>
    <w:multiLevelType w:val="multilevel"/>
    <w:tmpl w:val="A2843618"/>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10BE0371"/>
    <w:multiLevelType w:val="hybridMultilevel"/>
    <w:tmpl w:val="7A56AD24"/>
    <w:lvl w:ilvl="0" w:tplc="AE14C5E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1163CC"/>
    <w:multiLevelType w:val="hybridMultilevel"/>
    <w:tmpl w:val="C14E8750"/>
    <w:lvl w:ilvl="0" w:tplc="AE14C5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E40054"/>
    <w:multiLevelType w:val="hybridMultilevel"/>
    <w:tmpl w:val="A0FEBDCA"/>
    <w:lvl w:ilvl="0" w:tplc="AE14C5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E80047"/>
    <w:multiLevelType w:val="hybridMultilevel"/>
    <w:tmpl w:val="A2B43D92"/>
    <w:lvl w:ilvl="0" w:tplc="AE14C5E6">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C52FC3"/>
    <w:multiLevelType w:val="multilevel"/>
    <w:tmpl w:val="CD64F6DA"/>
    <w:lvl w:ilvl="0">
      <w:start w:val="1"/>
      <w:numFmt w:val="decimal"/>
      <w:pStyle w:val="TitreAnnexeAdeme"/>
      <w:suff w:val="space"/>
      <w:lvlText w:val="Annex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7B31A3"/>
    <w:multiLevelType w:val="hybridMultilevel"/>
    <w:tmpl w:val="E4288DF0"/>
    <w:lvl w:ilvl="0" w:tplc="AE14C5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5B7112"/>
    <w:multiLevelType w:val="hybridMultilevel"/>
    <w:tmpl w:val="21AAFF96"/>
    <w:lvl w:ilvl="0" w:tplc="AE14C5E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F67EBC"/>
    <w:multiLevelType w:val="hybridMultilevel"/>
    <w:tmpl w:val="F6DC04D4"/>
    <w:lvl w:ilvl="0" w:tplc="AE14C5E6">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BE3317D"/>
    <w:multiLevelType w:val="hybridMultilevel"/>
    <w:tmpl w:val="AA923BBA"/>
    <w:lvl w:ilvl="0" w:tplc="AE14C5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325C1F"/>
    <w:multiLevelType w:val="hybridMultilevel"/>
    <w:tmpl w:val="BD981B56"/>
    <w:lvl w:ilvl="0" w:tplc="AE14C5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0BA2899"/>
    <w:multiLevelType w:val="hybridMultilevel"/>
    <w:tmpl w:val="50461192"/>
    <w:lvl w:ilvl="0" w:tplc="AE14C5E6">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589C2FB2"/>
    <w:multiLevelType w:val="hybridMultilevel"/>
    <w:tmpl w:val="D3A2A874"/>
    <w:lvl w:ilvl="0" w:tplc="AE14C5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3A6D42"/>
    <w:multiLevelType w:val="hybridMultilevel"/>
    <w:tmpl w:val="9318AE84"/>
    <w:lvl w:ilvl="0" w:tplc="AE14C5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15:restartNumberingAfterBreak="0">
    <w:nsid w:val="6D825608"/>
    <w:multiLevelType w:val="hybridMultilevel"/>
    <w:tmpl w:val="886E656E"/>
    <w:lvl w:ilvl="0" w:tplc="AE14C5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C41E36"/>
    <w:multiLevelType w:val="hybridMultilevel"/>
    <w:tmpl w:val="525A9BBA"/>
    <w:lvl w:ilvl="0" w:tplc="AE14C5E6">
      <w:numFmt w:val="bullet"/>
      <w:lvlText w:val="-"/>
      <w:lvlJc w:val="left"/>
      <w:pPr>
        <w:ind w:left="774" w:hanging="360"/>
      </w:pPr>
      <w:rPr>
        <w:rFonts w:ascii="Arial" w:eastAsia="Times New Roman" w:hAnsi="Arial" w:cs="Aria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2"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9CA09D5"/>
    <w:multiLevelType w:val="hybridMultilevel"/>
    <w:tmpl w:val="9DE4D972"/>
    <w:lvl w:ilvl="0" w:tplc="AE14C5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E10A1C"/>
    <w:multiLevelType w:val="hybridMultilevel"/>
    <w:tmpl w:val="EAAC4F22"/>
    <w:lvl w:ilvl="0" w:tplc="1DE8A1E4">
      <w:start w:val="6"/>
      <w:numFmt w:val="bullet"/>
      <w:lvlText w:val="-"/>
      <w:lvlJc w:val="left"/>
      <w:pPr>
        <w:ind w:left="774" w:hanging="360"/>
      </w:pPr>
      <w:rPr>
        <w:rFonts w:ascii="Arial" w:eastAsia="Times New Roman" w:hAnsi="Arial" w:cs="Aria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5" w15:restartNumberingAfterBreak="0">
    <w:nsid w:val="7FC61F79"/>
    <w:multiLevelType w:val="hybridMultilevel"/>
    <w:tmpl w:val="2FF2BD52"/>
    <w:lvl w:ilvl="0" w:tplc="1DE8A1E4">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3"/>
    <w:lvlOverride w:ilvl="0">
      <w:lvl w:ilvl="0">
        <w:start w:val="1"/>
        <w:numFmt w:val="decimal"/>
        <w:pStyle w:val="Titre1"/>
        <w:suff w:val="space"/>
        <w:lvlText w:val="%1 -"/>
        <w:lvlJc w:val="left"/>
        <w:pPr>
          <w:ind w:left="0" w:firstLine="0"/>
        </w:pPr>
        <w:rPr>
          <w:rFonts w:hint="default"/>
        </w:rPr>
      </w:lvl>
    </w:lvlOverride>
  </w:num>
  <w:num w:numId="3">
    <w:abstractNumId w:val="3"/>
    <w:lvlOverride w:ilvl="0">
      <w:lvl w:ilvl="0">
        <w:start w:val="1"/>
        <w:numFmt w:val="decimal"/>
        <w:pStyle w:val="Titre1"/>
        <w:suff w:val="space"/>
        <w:lvlText w:val="%1 -"/>
        <w:lvlJc w:val="left"/>
        <w:pPr>
          <w:ind w:left="0" w:firstLine="0"/>
        </w:pPr>
        <w:rPr>
          <w:rFonts w:hint="default"/>
        </w:rPr>
      </w:lvl>
    </w:lvlOverride>
  </w:num>
  <w:num w:numId="4">
    <w:abstractNumId w:val="9"/>
  </w:num>
  <w:num w:numId="5">
    <w:abstractNumId w:val="15"/>
  </w:num>
  <w:num w:numId="6">
    <w:abstractNumId w:val="22"/>
  </w:num>
  <w:num w:numId="7">
    <w:abstractNumId w:val="11"/>
  </w:num>
  <w:num w:numId="8">
    <w:abstractNumId w:val="2"/>
  </w:num>
  <w:num w:numId="9">
    <w:abstractNumId w:val="8"/>
  </w:num>
  <w:num w:numId="10">
    <w:abstractNumId w:val="20"/>
  </w:num>
  <w:num w:numId="11">
    <w:abstractNumId w:val="18"/>
  </w:num>
  <w:num w:numId="12">
    <w:abstractNumId w:val="14"/>
  </w:num>
  <w:num w:numId="13">
    <w:abstractNumId w:val="13"/>
  </w:num>
  <w:num w:numId="14">
    <w:abstractNumId w:val="7"/>
  </w:num>
  <w:num w:numId="15">
    <w:abstractNumId w:val="23"/>
  </w:num>
  <w:num w:numId="16">
    <w:abstractNumId w:val="17"/>
  </w:num>
  <w:num w:numId="17">
    <w:abstractNumId w:val="12"/>
  </w:num>
  <w:num w:numId="18">
    <w:abstractNumId w:val="16"/>
  </w:num>
  <w:num w:numId="19">
    <w:abstractNumId w:val="10"/>
  </w:num>
  <w:num w:numId="20">
    <w:abstractNumId w:val="4"/>
  </w:num>
  <w:num w:numId="21">
    <w:abstractNumId w:val="21"/>
  </w:num>
  <w:num w:numId="22">
    <w:abstractNumId w:val="6"/>
  </w:num>
  <w:num w:numId="23">
    <w:abstractNumId w:val="5"/>
  </w:num>
  <w:num w:numId="24">
    <w:abstractNumId w:val="24"/>
  </w:num>
  <w:num w:numId="2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E94"/>
    <w:rsid w:val="000603EE"/>
    <w:rsid w:val="00105B3F"/>
    <w:rsid w:val="001459B3"/>
    <w:rsid w:val="001C2463"/>
    <w:rsid w:val="001C4878"/>
    <w:rsid w:val="00242EAD"/>
    <w:rsid w:val="00286232"/>
    <w:rsid w:val="002977A6"/>
    <w:rsid w:val="002A7138"/>
    <w:rsid w:val="002B3B3A"/>
    <w:rsid w:val="002B4CFA"/>
    <w:rsid w:val="002F1AD6"/>
    <w:rsid w:val="003E4CA6"/>
    <w:rsid w:val="003E6B4B"/>
    <w:rsid w:val="0044591E"/>
    <w:rsid w:val="00455B03"/>
    <w:rsid w:val="00475101"/>
    <w:rsid w:val="004831C2"/>
    <w:rsid w:val="004D7201"/>
    <w:rsid w:val="004E057B"/>
    <w:rsid w:val="005120A6"/>
    <w:rsid w:val="005233DF"/>
    <w:rsid w:val="00527582"/>
    <w:rsid w:val="005975B2"/>
    <w:rsid w:val="005A4432"/>
    <w:rsid w:val="00602672"/>
    <w:rsid w:val="00635FB5"/>
    <w:rsid w:val="006A3721"/>
    <w:rsid w:val="006B7E94"/>
    <w:rsid w:val="006D297E"/>
    <w:rsid w:val="00720328"/>
    <w:rsid w:val="00734EFD"/>
    <w:rsid w:val="00757DE9"/>
    <w:rsid w:val="007657AD"/>
    <w:rsid w:val="00850A11"/>
    <w:rsid w:val="00860298"/>
    <w:rsid w:val="00871F0B"/>
    <w:rsid w:val="0088576F"/>
    <w:rsid w:val="008B69CA"/>
    <w:rsid w:val="008F1676"/>
    <w:rsid w:val="00992648"/>
    <w:rsid w:val="009A2EB4"/>
    <w:rsid w:val="009A5223"/>
    <w:rsid w:val="009A7A6B"/>
    <w:rsid w:val="009D1BFE"/>
    <w:rsid w:val="009E40F0"/>
    <w:rsid w:val="009E4361"/>
    <w:rsid w:val="009E7996"/>
    <w:rsid w:val="00A035F3"/>
    <w:rsid w:val="00A40BF0"/>
    <w:rsid w:val="00A57BC8"/>
    <w:rsid w:val="00A6534F"/>
    <w:rsid w:val="00A85E04"/>
    <w:rsid w:val="00B50236"/>
    <w:rsid w:val="00B51936"/>
    <w:rsid w:val="00B64768"/>
    <w:rsid w:val="00B933AE"/>
    <w:rsid w:val="00BC448E"/>
    <w:rsid w:val="00BD11E3"/>
    <w:rsid w:val="00BF4FC1"/>
    <w:rsid w:val="00C44E0B"/>
    <w:rsid w:val="00CB7EC5"/>
    <w:rsid w:val="00D15B0E"/>
    <w:rsid w:val="00D6294C"/>
    <w:rsid w:val="00D871CB"/>
    <w:rsid w:val="00DA275D"/>
    <w:rsid w:val="00DA7287"/>
    <w:rsid w:val="00E506E1"/>
    <w:rsid w:val="00E63573"/>
    <w:rsid w:val="00ED1260"/>
    <w:rsid w:val="00ED4CC3"/>
    <w:rsid w:val="00F275B4"/>
    <w:rsid w:val="00F30902"/>
    <w:rsid w:val="00F83FD0"/>
    <w:rsid w:val="00FD7E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81F5039-878E-4166-8D0E-ADA75DC6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Ademe"/>
    <w:autoRedefine/>
    <w:qFormat/>
    <w:rsid w:val="007657AD"/>
    <w:pPr>
      <w:jc w:val="both"/>
    </w:pPr>
    <w:rPr>
      <w:rFonts w:ascii="Calibri" w:eastAsia="Times New Roman" w:hAnsi="Calibri"/>
      <w:noProof/>
      <w:sz w:val="24"/>
      <w:szCs w:val="24"/>
    </w:rPr>
  </w:style>
  <w:style w:type="paragraph" w:styleId="Titre1">
    <w:name w:val="heading 1"/>
    <w:aliases w:val="Titre 1 Ademe"/>
    <w:basedOn w:val="Normal"/>
    <w:next w:val="Normal"/>
    <w:link w:val="Titre1Car"/>
    <w:autoRedefine/>
    <w:qFormat/>
    <w:rsid w:val="00F83FD0"/>
    <w:pPr>
      <w:numPr>
        <w:numId w:val="3"/>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5975B2"/>
    <w:pPr>
      <w:numPr>
        <w:ilvl w:val="1"/>
        <w:numId w:val="3"/>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3"/>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3"/>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3"/>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F83FD0"/>
    <w:rPr>
      <w:rFonts w:ascii="Calibri" w:eastAsia="Times New Roman" w:hAnsi="Calibri"/>
      <w:b/>
      <w:bCs/>
      <w:caps/>
      <w:noProof/>
      <w:kern w:val="40"/>
      <w:sz w:val="40"/>
      <w:szCs w:val="32"/>
    </w:rPr>
  </w:style>
  <w:style w:type="character" w:customStyle="1" w:styleId="Titre2Car">
    <w:name w:val="Titre 2 Car"/>
    <w:aliases w:val="Titre 2 Ademe Car"/>
    <w:link w:val="Titre2"/>
    <w:rsid w:val="005975B2"/>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rPr>
  </w:style>
  <w:style w:type="character" w:customStyle="1" w:styleId="Titre7Car">
    <w:name w:val="Titre 7 Car"/>
    <w:link w:val="Titre7"/>
    <w:rsid w:val="00ED4CC3"/>
    <w:rPr>
      <w:rFonts w:ascii="Calibri" w:eastAsia="Times New Roman" w:hAnsi="Calibri" w:cs="Book Antiqua"/>
      <w:noProof/>
      <w:sz w:val="24"/>
      <w:szCs w:val="24"/>
    </w:rPr>
  </w:style>
  <w:style w:type="character" w:customStyle="1" w:styleId="Titre8Car">
    <w:name w:val="Titre 8 Car"/>
    <w:link w:val="Titre8"/>
    <w:rsid w:val="00ED4CC3"/>
    <w:rPr>
      <w:rFonts w:ascii="Calibri" w:eastAsia="Times New Roman" w:hAnsi="Calibri" w:cs="Book Antiqua"/>
      <w:iCs/>
      <w:noProof/>
      <w:sz w:val="24"/>
      <w:szCs w:val="24"/>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5975B2"/>
    <w:pPr>
      <w:pBdr>
        <w:top w:val="double" w:sz="4" w:space="1" w:color="004A99"/>
        <w:bottom w:val="double" w:sz="4" w:space="1" w:color="004A99"/>
      </w:pBdr>
      <w:spacing w:before="240" w:after="100" w:afterAutospacing="1" w:line="274" w:lineRule="auto"/>
      <w:jc w:val="center"/>
    </w:pPr>
    <w:rPr>
      <w:b/>
      <w:caps/>
      <w:color w:val="004A99"/>
      <w:sz w:val="36"/>
    </w:rPr>
  </w:style>
  <w:style w:type="paragraph" w:customStyle="1" w:styleId="NormalGrandTitre2Ademe">
    <w:name w:val="Normal Grand Titre 2 Ademe"/>
    <w:basedOn w:val="TM1"/>
    <w:autoRedefine/>
    <w:qFormat/>
    <w:rsid w:val="005975B2"/>
    <w:rPr>
      <w:b w:val="0"/>
      <w:caps w:val="0"/>
      <w:sz w:val="32"/>
    </w:rPr>
  </w:style>
  <w:style w:type="paragraph" w:styleId="TM1">
    <w:name w:val="toc 1"/>
    <w:aliases w:val="TM 1 Ademe"/>
    <w:basedOn w:val="Normal"/>
    <w:next w:val="Normal"/>
    <w:autoRedefine/>
    <w:uiPriority w:val="39"/>
    <w:unhideWhenUsed/>
    <w:qFormat/>
    <w:rsid w:val="000603EE"/>
    <w:pPr>
      <w:tabs>
        <w:tab w:val="left" w:pos="440"/>
        <w:tab w:val="right" w:leader="dot" w:pos="9060"/>
      </w:tabs>
      <w:spacing w:before="100" w:beforeAutospacing="1" w:after="100" w:afterAutospacing="1"/>
    </w:pPr>
    <w:rPr>
      <w:b/>
      <w:caps/>
      <w:color w:val="004A99"/>
    </w:rPr>
  </w:style>
  <w:style w:type="paragraph" w:customStyle="1" w:styleId="PrambuleEncadrTexteAdeme">
    <w:name w:val="Préambule Encadré Texte Ademe"/>
    <w:basedOn w:val="Normal"/>
    <w:autoRedefine/>
    <w:qFormat/>
    <w:rsid w:val="00635FB5"/>
    <w:pPr>
      <w:pBdr>
        <w:top w:val="thinThickSmallGap" w:sz="18" w:space="1" w:color="004A99"/>
        <w:left w:val="thinThickSmallGap" w:sz="18" w:space="4" w:color="004A99"/>
        <w:bottom w:val="thickThinSmallGap" w:sz="18" w:space="1" w:color="004A99"/>
        <w:right w:val="thickThinSmallGap" w:sz="18" w:space="4" w:color="004A99"/>
      </w:pBdr>
    </w:pPr>
    <w:rPr>
      <w:sz w:val="21"/>
      <w:szCs w:val="21"/>
    </w:rPr>
  </w:style>
  <w:style w:type="paragraph" w:customStyle="1" w:styleId="NormalFondTexteAdeme">
    <w:name w:val="Normal Fond Texte Ademe"/>
    <w:basedOn w:val="NormalFondTitreAdeme"/>
    <w:autoRedefine/>
    <w:qFormat/>
    <w:rsid w:val="00D15B0E"/>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44591E"/>
    <w:pPr>
      <w:shd w:val="clear" w:color="auto" w:fill="CDE5FF"/>
    </w:pPr>
    <w:rPr>
      <w:b/>
    </w:rPr>
  </w:style>
  <w:style w:type="paragraph" w:customStyle="1" w:styleId="NormalFondTitreAdeme">
    <w:name w:val="Normal Fond Titre Ademe"/>
    <w:basedOn w:val="PrambuleFondTexteAdeme"/>
    <w:autoRedefine/>
    <w:qFormat/>
    <w:rsid w:val="00D15B0E"/>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5975B2"/>
    <w:pPr>
      <w:jc w:val="center"/>
    </w:pPr>
    <w:rPr>
      <w:caps/>
      <w:sz w:val="32"/>
    </w:rPr>
  </w:style>
  <w:style w:type="paragraph" w:customStyle="1" w:styleId="PagedegardeTitre4Ademe">
    <w:name w:val="Page de garde Titre 4 Ademe"/>
    <w:basedOn w:val="Normal"/>
    <w:autoRedefine/>
    <w:qFormat/>
    <w:rsid w:val="005975B2"/>
    <w:pPr>
      <w:jc w:val="center"/>
    </w:pPr>
    <w:rPr>
      <w:b/>
      <w:caps/>
      <w:color w:val="004A99"/>
      <w:sz w:val="52"/>
    </w:rPr>
  </w:style>
  <w:style w:type="paragraph" w:customStyle="1" w:styleId="PagedegardeTitre5Ademe">
    <w:name w:val="Page de garde Titre 5 Ademe"/>
    <w:basedOn w:val="Normal"/>
    <w:autoRedefine/>
    <w:qFormat/>
    <w:rsid w:val="005975B2"/>
    <w:pPr>
      <w:ind w:right="-995"/>
      <w:jc w:val="right"/>
    </w:pPr>
    <w:rPr>
      <w:b/>
      <w:caps/>
      <w:color w:val="FF0000"/>
      <w:sz w:val="40"/>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975B2"/>
    <w:pPr>
      <w:numPr>
        <w:numId w:val="4"/>
      </w:numPr>
    </w:pPr>
    <w:rPr>
      <w:sz w:val="28"/>
    </w:rPr>
  </w:style>
  <w:style w:type="paragraph" w:customStyle="1" w:styleId="TitreFigureAdeme">
    <w:name w:val="Titre Figure Ademe"/>
    <w:basedOn w:val="TitreAnnexeAdeme"/>
    <w:autoRedefine/>
    <w:qFormat/>
    <w:rsid w:val="005975B2"/>
    <w:pPr>
      <w:numPr>
        <w:numId w:val="5"/>
      </w:numPr>
    </w:pPr>
  </w:style>
  <w:style w:type="paragraph" w:customStyle="1" w:styleId="TitreTableauAdeme">
    <w:name w:val="Titre Tableau Ademe"/>
    <w:basedOn w:val="Normal"/>
    <w:autoRedefine/>
    <w:qFormat/>
    <w:rsid w:val="005975B2"/>
    <w:pPr>
      <w:numPr>
        <w:numId w:val="6"/>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character" w:styleId="Appelnotedebasdep">
    <w:name w:val="footnote reference"/>
    <w:uiPriority w:val="99"/>
    <w:semiHidden/>
    <w:rsid w:val="00F83FD0"/>
    <w:rPr>
      <w:vertAlign w:val="superscript"/>
    </w:rPr>
  </w:style>
  <w:style w:type="paragraph" w:customStyle="1" w:styleId="CarCarCarCarCar">
    <w:name w:val="Car Car Car Car Car"/>
    <w:basedOn w:val="Normal"/>
    <w:rsid w:val="00F83FD0"/>
    <w:pPr>
      <w:spacing w:after="160" w:line="240" w:lineRule="exact"/>
      <w:jc w:val="left"/>
    </w:pPr>
    <w:rPr>
      <w:rFonts w:ascii="Tahoma" w:hAnsi="Tahoma"/>
      <w:noProof w:val="0"/>
      <w:sz w:val="20"/>
      <w:szCs w:val="20"/>
      <w:lang w:val="en-US" w:eastAsia="en-US"/>
    </w:rPr>
  </w:style>
  <w:style w:type="paragraph" w:styleId="Paragraphedeliste">
    <w:name w:val="List Paragraph"/>
    <w:basedOn w:val="Normal"/>
    <w:uiPriority w:val="34"/>
    <w:qFormat/>
    <w:rsid w:val="00B933AE"/>
    <w:pPr>
      <w:spacing w:line="276" w:lineRule="auto"/>
      <w:ind w:left="720"/>
      <w:contextualSpacing/>
    </w:pPr>
    <w:rPr>
      <w:rFonts w:ascii="Arial" w:eastAsiaTheme="minorHAnsi" w:hAnsi="Arial" w:cstheme="minorBidi"/>
      <w:noProof w:val="0"/>
      <w:sz w:val="22"/>
      <w:szCs w:val="22"/>
      <w:lang w:eastAsia="en-US"/>
    </w:rPr>
  </w:style>
  <w:style w:type="table" w:styleId="Grilledutableau">
    <w:name w:val="Table Grid"/>
    <w:basedOn w:val="TableauNormal"/>
    <w:uiPriority w:val="59"/>
    <w:rsid w:val="007657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agademe.f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noe.org/contrib/ademe/carademe/pages/CARADEME_GuideV1-2014.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diagadem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iagadem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Desjeux%20-%20Autres\Ademe%202012\Mod&#232;le%20Ademe%2003.08.1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41346-9B42-49CE-8335-800E5334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Ademe 03.08.12.dot</Template>
  <TotalTime>0</TotalTime>
  <Pages>14</Pages>
  <Words>4694</Words>
  <Characters>25817</Characters>
  <Application>Microsoft Office Word</Application>
  <DocSecurity>4</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ILTR</Company>
  <LinksUpToDate>false</LinksUpToDate>
  <CharactersWithSpaces>30451</CharactersWithSpaces>
  <SharedDoc>false</SharedDoc>
  <HLinks>
    <vt:vector size="150" baseType="variant">
      <vt:variant>
        <vt:i4>393227</vt:i4>
      </vt:variant>
      <vt:variant>
        <vt:i4>147</vt:i4>
      </vt:variant>
      <vt:variant>
        <vt:i4>0</vt:i4>
      </vt:variant>
      <vt:variant>
        <vt:i4>5</vt:i4>
      </vt:variant>
      <vt:variant>
        <vt:lpwstr>http://www.diagademe.fr/</vt:lpwstr>
      </vt:variant>
      <vt:variant>
        <vt:lpwstr/>
      </vt:variant>
      <vt:variant>
        <vt:i4>393227</vt:i4>
      </vt:variant>
      <vt:variant>
        <vt:i4>141</vt:i4>
      </vt:variant>
      <vt:variant>
        <vt:i4>0</vt:i4>
      </vt:variant>
      <vt:variant>
        <vt:i4>5</vt:i4>
      </vt:variant>
      <vt:variant>
        <vt:lpwstr>http://www.diagademe.fr/</vt:lpwstr>
      </vt:variant>
      <vt:variant>
        <vt:lpwstr/>
      </vt:variant>
      <vt:variant>
        <vt:i4>1310774</vt:i4>
      </vt:variant>
      <vt:variant>
        <vt:i4>134</vt:i4>
      </vt:variant>
      <vt:variant>
        <vt:i4>0</vt:i4>
      </vt:variant>
      <vt:variant>
        <vt:i4>5</vt:i4>
      </vt:variant>
      <vt:variant>
        <vt:lpwstr/>
      </vt:variant>
      <vt:variant>
        <vt:lpwstr>_Toc334174659</vt:lpwstr>
      </vt:variant>
      <vt:variant>
        <vt:i4>1310774</vt:i4>
      </vt:variant>
      <vt:variant>
        <vt:i4>128</vt:i4>
      </vt:variant>
      <vt:variant>
        <vt:i4>0</vt:i4>
      </vt:variant>
      <vt:variant>
        <vt:i4>5</vt:i4>
      </vt:variant>
      <vt:variant>
        <vt:lpwstr/>
      </vt:variant>
      <vt:variant>
        <vt:lpwstr>_Toc334174658</vt:lpwstr>
      </vt:variant>
      <vt:variant>
        <vt:i4>1310774</vt:i4>
      </vt:variant>
      <vt:variant>
        <vt:i4>122</vt:i4>
      </vt:variant>
      <vt:variant>
        <vt:i4>0</vt:i4>
      </vt:variant>
      <vt:variant>
        <vt:i4>5</vt:i4>
      </vt:variant>
      <vt:variant>
        <vt:lpwstr/>
      </vt:variant>
      <vt:variant>
        <vt:lpwstr>_Toc334174657</vt:lpwstr>
      </vt:variant>
      <vt:variant>
        <vt:i4>1310774</vt:i4>
      </vt:variant>
      <vt:variant>
        <vt:i4>116</vt:i4>
      </vt:variant>
      <vt:variant>
        <vt:i4>0</vt:i4>
      </vt:variant>
      <vt:variant>
        <vt:i4>5</vt:i4>
      </vt:variant>
      <vt:variant>
        <vt:lpwstr/>
      </vt:variant>
      <vt:variant>
        <vt:lpwstr>_Toc334174656</vt:lpwstr>
      </vt:variant>
      <vt:variant>
        <vt:i4>1310774</vt:i4>
      </vt:variant>
      <vt:variant>
        <vt:i4>110</vt:i4>
      </vt:variant>
      <vt:variant>
        <vt:i4>0</vt:i4>
      </vt:variant>
      <vt:variant>
        <vt:i4>5</vt:i4>
      </vt:variant>
      <vt:variant>
        <vt:lpwstr/>
      </vt:variant>
      <vt:variant>
        <vt:lpwstr>_Toc334174655</vt:lpwstr>
      </vt:variant>
      <vt:variant>
        <vt:i4>1310774</vt:i4>
      </vt:variant>
      <vt:variant>
        <vt:i4>104</vt:i4>
      </vt:variant>
      <vt:variant>
        <vt:i4>0</vt:i4>
      </vt:variant>
      <vt:variant>
        <vt:i4>5</vt:i4>
      </vt:variant>
      <vt:variant>
        <vt:lpwstr/>
      </vt:variant>
      <vt:variant>
        <vt:lpwstr>_Toc334174654</vt:lpwstr>
      </vt:variant>
      <vt:variant>
        <vt:i4>1310774</vt:i4>
      </vt:variant>
      <vt:variant>
        <vt:i4>98</vt:i4>
      </vt:variant>
      <vt:variant>
        <vt:i4>0</vt:i4>
      </vt:variant>
      <vt:variant>
        <vt:i4>5</vt:i4>
      </vt:variant>
      <vt:variant>
        <vt:lpwstr/>
      </vt:variant>
      <vt:variant>
        <vt:lpwstr>_Toc334174653</vt:lpwstr>
      </vt:variant>
      <vt:variant>
        <vt:i4>1310774</vt:i4>
      </vt:variant>
      <vt:variant>
        <vt:i4>92</vt:i4>
      </vt:variant>
      <vt:variant>
        <vt:i4>0</vt:i4>
      </vt:variant>
      <vt:variant>
        <vt:i4>5</vt:i4>
      </vt:variant>
      <vt:variant>
        <vt:lpwstr/>
      </vt:variant>
      <vt:variant>
        <vt:lpwstr>_Toc334174652</vt:lpwstr>
      </vt:variant>
      <vt:variant>
        <vt:i4>1310774</vt:i4>
      </vt:variant>
      <vt:variant>
        <vt:i4>86</vt:i4>
      </vt:variant>
      <vt:variant>
        <vt:i4>0</vt:i4>
      </vt:variant>
      <vt:variant>
        <vt:i4>5</vt:i4>
      </vt:variant>
      <vt:variant>
        <vt:lpwstr/>
      </vt:variant>
      <vt:variant>
        <vt:lpwstr>_Toc334174651</vt:lpwstr>
      </vt:variant>
      <vt:variant>
        <vt:i4>1310774</vt:i4>
      </vt:variant>
      <vt:variant>
        <vt:i4>80</vt:i4>
      </vt:variant>
      <vt:variant>
        <vt:i4>0</vt:i4>
      </vt:variant>
      <vt:variant>
        <vt:i4>5</vt:i4>
      </vt:variant>
      <vt:variant>
        <vt:lpwstr/>
      </vt:variant>
      <vt:variant>
        <vt:lpwstr>_Toc334174650</vt:lpwstr>
      </vt:variant>
      <vt:variant>
        <vt:i4>1376310</vt:i4>
      </vt:variant>
      <vt:variant>
        <vt:i4>74</vt:i4>
      </vt:variant>
      <vt:variant>
        <vt:i4>0</vt:i4>
      </vt:variant>
      <vt:variant>
        <vt:i4>5</vt:i4>
      </vt:variant>
      <vt:variant>
        <vt:lpwstr/>
      </vt:variant>
      <vt:variant>
        <vt:lpwstr>_Toc334174649</vt:lpwstr>
      </vt:variant>
      <vt:variant>
        <vt:i4>1376310</vt:i4>
      </vt:variant>
      <vt:variant>
        <vt:i4>68</vt:i4>
      </vt:variant>
      <vt:variant>
        <vt:i4>0</vt:i4>
      </vt:variant>
      <vt:variant>
        <vt:i4>5</vt:i4>
      </vt:variant>
      <vt:variant>
        <vt:lpwstr/>
      </vt:variant>
      <vt:variant>
        <vt:lpwstr>_Toc334174648</vt:lpwstr>
      </vt:variant>
      <vt:variant>
        <vt:i4>1376310</vt:i4>
      </vt:variant>
      <vt:variant>
        <vt:i4>62</vt:i4>
      </vt:variant>
      <vt:variant>
        <vt:i4>0</vt:i4>
      </vt:variant>
      <vt:variant>
        <vt:i4>5</vt:i4>
      </vt:variant>
      <vt:variant>
        <vt:lpwstr/>
      </vt:variant>
      <vt:variant>
        <vt:lpwstr>_Toc334174647</vt:lpwstr>
      </vt:variant>
      <vt:variant>
        <vt:i4>1376310</vt:i4>
      </vt:variant>
      <vt:variant>
        <vt:i4>56</vt:i4>
      </vt:variant>
      <vt:variant>
        <vt:i4>0</vt:i4>
      </vt:variant>
      <vt:variant>
        <vt:i4>5</vt:i4>
      </vt:variant>
      <vt:variant>
        <vt:lpwstr/>
      </vt:variant>
      <vt:variant>
        <vt:lpwstr>_Toc334174646</vt:lpwstr>
      </vt:variant>
      <vt:variant>
        <vt:i4>1376310</vt:i4>
      </vt:variant>
      <vt:variant>
        <vt:i4>50</vt:i4>
      </vt:variant>
      <vt:variant>
        <vt:i4>0</vt:i4>
      </vt:variant>
      <vt:variant>
        <vt:i4>5</vt:i4>
      </vt:variant>
      <vt:variant>
        <vt:lpwstr/>
      </vt:variant>
      <vt:variant>
        <vt:lpwstr>_Toc334174645</vt:lpwstr>
      </vt:variant>
      <vt:variant>
        <vt:i4>1376310</vt:i4>
      </vt:variant>
      <vt:variant>
        <vt:i4>44</vt:i4>
      </vt:variant>
      <vt:variant>
        <vt:i4>0</vt:i4>
      </vt:variant>
      <vt:variant>
        <vt:i4>5</vt:i4>
      </vt:variant>
      <vt:variant>
        <vt:lpwstr/>
      </vt:variant>
      <vt:variant>
        <vt:lpwstr>_Toc334174644</vt:lpwstr>
      </vt:variant>
      <vt:variant>
        <vt:i4>1376310</vt:i4>
      </vt:variant>
      <vt:variant>
        <vt:i4>38</vt:i4>
      </vt:variant>
      <vt:variant>
        <vt:i4>0</vt:i4>
      </vt:variant>
      <vt:variant>
        <vt:i4>5</vt:i4>
      </vt:variant>
      <vt:variant>
        <vt:lpwstr/>
      </vt:variant>
      <vt:variant>
        <vt:lpwstr>_Toc334174643</vt:lpwstr>
      </vt:variant>
      <vt:variant>
        <vt:i4>1376310</vt:i4>
      </vt:variant>
      <vt:variant>
        <vt:i4>32</vt:i4>
      </vt:variant>
      <vt:variant>
        <vt:i4>0</vt:i4>
      </vt:variant>
      <vt:variant>
        <vt:i4>5</vt:i4>
      </vt:variant>
      <vt:variant>
        <vt:lpwstr/>
      </vt:variant>
      <vt:variant>
        <vt:lpwstr>_Toc334174642</vt:lpwstr>
      </vt:variant>
      <vt:variant>
        <vt:i4>1376310</vt:i4>
      </vt:variant>
      <vt:variant>
        <vt:i4>26</vt:i4>
      </vt:variant>
      <vt:variant>
        <vt:i4>0</vt:i4>
      </vt:variant>
      <vt:variant>
        <vt:i4>5</vt:i4>
      </vt:variant>
      <vt:variant>
        <vt:lpwstr/>
      </vt:variant>
      <vt:variant>
        <vt:lpwstr>_Toc334174641</vt:lpwstr>
      </vt:variant>
      <vt:variant>
        <vt:i4>1376310</vt:i4>
      </vt:variant>
      <vt:variant>
        <vt:i4>20</vt:i4>
      </vt:variant>
      <vt:variant>
        <vt:i4>0</vt:i4>
      </vt:variant>
      <vt:variant>
        <vt:i4>5</vt:i4>
      </vt:variant>
      <vt:variant>
        <vt:lpwstr/>
      </vt:variant>
      <vt:variant>
        <vt:lpwstr>_Toc334174640</vt:lpwstr>
      </vt:variant>
      <vt:variant>
        <vt:i4>1179702</vt:i4>
      </vt:variant>
      <vt:variant>
        <vt:i4>14</vt:i4>
      </vt:variant>
      <vt:variant>
        <vt:i4>0</vt:i4>
      </vt:variant>
      <vt:variant>
        <vt:i4>5</vt:i4>
      </vt:variant>
      <vt:variant>
        <vt:lpwstr/>
      </vt:variant>
      <vt:variant>
        <vt:lpwstr>_Toc334174639</vt:lpwstr>
      </vt:variant>
      <vt:variant>
        <vt:i4>1179702</vt:i4>
      </vt:variant>
      <vt:variant>
        <vt:i4>8</vt:i4>
      </vt:variant>
      <vt:variant>
        <vt:i4>0</vt:i4>
      </vt:variant>
      <vt:variant>
        <vt:i4>5</vt:i4>
      </vt:variant>
      <vt:variant>
        <vt:lpwstr/>
      </vt:variant>
      <vt:variant>
        <vt:lpwstr>_Toc334174638</vt:lpwstr>
      </vt:variant>
      <vt:variant>
        <vt:i4>1179702</vt:i4>
      </vt:variant>
      <vt:variant>
        <vt:i4>2</vt:i4>
      </vt:variant>
      <vt:variant>
        <vt:i4>0</vt:i4>
      </vt:variant>
      <vt:variant>
        <vt:i4>5</vt:i4>
      </vt:variant>
      <vt:variant>
        <vt:lpwstr/>
      </vt:variant>
      <vt:variant>
        <vt:lpwstr>_Toc334174637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ILTR</dc:creator>
  <cp:keywords/>
  <cp:lastModifiedBy>LECLERCQ Eloise</cp:lastModifiedBy>
  <cp:revision>2</cp:revision>
  <dcterms:created xsi:type="dcterms:W3CDTF">2020-12-04T13:15:00Z</dcterms:created>
  <dcterms:modified xsi:type="dcterms:W3CDTF">2020-12-04T13:15:00Z</dcterms:modified>
</cp:coreProperties>
</file>